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76" w:rsidRDefault="008549D0">
      <w:pPr>
        <w:numPr>
          <w:ilvl w:val="0"/>
          <w:numId w:val="1"/>
        </w:numPr>
        <w:spacing w:after="266"/>
        <w:ind w:left="546" w:hanging="279"/>
      </w:pPr>
      <w:bookmarkStart w:id="0" w:name="_GoBack"/>
      <w:bookmarkEnd w:id="0"/>
      <w:r>
        <w:t xml:space="preserve">Determine if the given mapping </w:t>
      </w:r>
      <w:r>
        <w:rPr>
          <w:i/>
        </w:rPr>
        <w:t>ϕ</w:t>
      </w:r>
      <w:r>
        <w:rPr>
          <w:i/>
        </w:rPr>
        <w:t xml:space="preserve"> </w:t>
      </w:r>
      <w:r>
        <w:t>is a homomorphism on the given groups. If so, identify its kernel and whether or not the mapping is 1-1 or onto.</w:t>
      </w:r>
    </w:p>
    <w:p w:rsidR="00AC6276" w:rsidRDefault="008549D0">
      <w:pPr>
        <w:numPr>
          <w:ilvl w:val="1"/>
          <w:numId w:val="1"/>
        </w:numPr>
        <w:ind w:hanging="400"/>
      </w:pPr>
      <w:r>
        <w:rPr>
          <w:i/>
        </w:rPr>
        <w:t xml:space="preserve">G </w:t>
      </w:r>
      <w:r>
        <w:t xml:space="preserve">is a group,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 xml:space="preserve">G </w:t>
      </w:r>
      <w:r>
        <w:t xml:space="preserve">is defined by </w:t>
      </w:r>
      <w:r>
        <w:rPr>
          <w:i/>
        </w:rPr>
        <w:t>ϕ</w:t>
      </w:r>
      <w:r>
        <w:t>(</w:t>
      </w:r>
      <w:r>
        <w:rPr>
          <w:i/>
        </w:rPr>
        <w:t>a</w:t>
      </w:r>
      <w:r>
        <w:t xml:space="preserve">) = </w:t>
      </w:r>
      <w:r>
        <w:rPr>
          <w:i/>
        </w:rPr>
        <w:t>a</w:t>
      </w:r>
      <w:r>
        <w:rPr>
          <w:vertAlign w:val="superscript"/>
        </w:rPr>
        <w:t>−</w:t>
      </w:r>
      <w:r>
        <w:rPr>
          <w:vertAlign w:val="superscript"/>
        </w:rPr>
        <w:t xml:space="preserve">1 </w:t>
      </w:r>
      <w:r>
        <w:t xml:space="preserve">for </w:t>
      </w:r>
      <w:r>
        <w:rPr>
          <w:i/>
        </w:rPr>
        <w:t xml:space="preserve">a </w:t>
      </w:r>
      <w:r>
        <w:t xml:space="preserve">∈ </w:t>
      </w:r>
      <w:r>
        <w:rPr>
          <w:i/>
        </w:rPr>
        <w:t>G</w:t>
      </w:r>
      <w:r>
        <w:t>.</w:t>
      </w:r>
    </w:p>
    <w:p w:rsidR="00AC6276" w:rsidRDefault="008549D0">
      <w:pPr>
        <w:numPr>
          <w:ilvl w:val="1"/>
          <w:numId w:val="1"/>
        </w:numPr>
        <w:spacing w:after="85" w:line="354" w:lineRule="auto"/>
        <w:ind w:hanging="400"/>
      </w:pPr>
      <w:r>
        <w:rPr>
          <w:i/>
        </w:rPr>
        <w:t xml:space="preserve">G </w:t>
      </w:r>
      <w:r>
        <w:t xml:space="preserve">is an abelian group, </w:t>
      </w:r>
      <w:r>
        <w:rPr>
          <w:i/>
        </w:rPr>
        <w:t xml:space="preserve">n &gt; </w:t>
      </w:r>
      <w:r>
        <w:t xml:space="preserve">1 is a fixed integer, and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 xml:space="preserve">G </w:t>
      </w:r>
      <w:r>
        <w:t xml:space="preserve">is defined by </w:t>
      </w:r>
      <w:r>
        <w:rPr>
          <w:i/>
        </w:rPr>
        <w:t>ϕ</w:t>
      </w:r>
      <w:r>
        <w:t>(</w:t>
      </w:r>
      <w:r>
        <w:rPr>
          <w:i/>
        </w:rPr>
        <w:t>a</w:t>
      </w:r>
      <w:r>
        <w:t xml:space="preserve">) = </w:t>
      </w:r>
      <w:r>
        <w:rPr>
          <w:i/>
        </w:rPr>
        <w:t>a</w:t>
      </w:r>
      <w:r>
        <w:rPr>
          <w:i/>
          <w:vertAlign w:val="superscript"/>
        </w:rPr>
        <w:t xml:space="preserve">n </w:t>
      </w:r>
      <w:r>
        <w:t xml:space="preserve">for </w:t>
      </w:r>
      <w:r>
        <w:rPr>
          <w:i/>
        </w:rPr>
        <w:t xml:space="preserve">a </w:t>
      </w:r>
      <w:r>
        <w:t xml:space="preserve">∈ </w:t>
      </w:r>
      <w:r>
        <w:rPr>
          <w:i/>
        </w:rPr>
        <w:t>G</w:t>
      </w:r>
      <w:r>
        <w:t>.</w:t>
      </w:r>
    </w:p>
    <w:p w:rsidR="00AC6276" w:rsidRDefault="008549D0">
      <w:pPr>
        <w:numPr>
          <w:ilvl w:val="1"/>
          <w:numId w:val="1"/>
        </w:numPr>
        <w:spacing w:after="227"/>
        <w:ind w:hanging="400"/>
      </w:pP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rFonts w:ascii="Calibri" w:eastAsia="Calibri" w:hAnsi="Calibri" w:cs="Calibri"/>
        </w:rPr>
        <w:t>C</w:t>
      </w:r>
      <w:r>
        <w:rPr>
          <w:vertAlign w:val="superscript"/>
        </w:rPr>
        <w:t xml:space="preserve">× </w:t>
      </w:r>
      <w:r>
        <w:t xml:space="preserve">→ </w:t>
      </w:r>
      <w:r>
        <w:rPr>
          <w:rFonts w:ascii="Calibri" w:eastAsia="Calibri" w:hAnsi="Calibri" w:cs="Calibri"/>
        </w:rPr>
        <w:t>R</w:t>
      </w:r>
      <w:r>
        <w:rPr>
          <w:vertAlign w:val="superscript"/>
        </w:rPr>
        <w:t xml:space="preserve">× </w:t>
      </w:r>
      <w:r>
        <w:t xml:space="preserve">with </w:t>
      </w:r>
      <w:r>
        <w:rPr>
          <w:i/>
        </w:rPr>
        <w:t>ϕ</w:t>
      </w:r>
      <w:r>
        <w:t>(</w:t>
      </w:r>
      <w:r>
        <w:rPr>
          <w:i/>
        </w:rPr>
        <w:t>a</w:t>
      </w:r>
      <w:r>
        <w:t xml:space="preserve">) = </w:t>
      </w:r>
      <w:r>
        <w:t>|</w:t>
      </w:r>
      <w:r>
        <w:rPr>
          <w:i/>
        </w:rPr>
        <w:t>a</w:t>
      </w:r>
      <w:r>
        <w:t>|</w:t>
      </w:r>
      <w:r>
        <w:t>.</w:t>
      </w:r>
    </w:p>
    <w:p w:rsidR="00AC6276" w:rsidRDefault="008549D0">
      <w:pPr>
        <w:numPr>
          <w:ilvl w:val="1"/>
          <w:numId w:val="1"/>
        </w:numPr>
        <w:spacing w:after="270"/>
        <w:ind w:hanging="400"/>
      </w:pP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rFonts w:ascii="Calibri" w:eastAsia="Calibri" w:hAnsi="Calibri" w:cs="Calibri"/>
        </w:rPr>
        <w:t xml:space="preserve">R </w:t>
      </w:r>
      <w:r>
        <w:t xml:space="preserve">→ </w:t>
      </w:r>
      <w:r>
        <w:rPr>
          <w:rFonts w:ascii="Calibri" w:eastAsia="Calibri" w:hAnsi="Calibri" w:cs="Calibri"/>
        </w:rPr>
        <w:t>C</w:t>
      </w:r>
      <w:r>
        <w:rPr>
          <w:vertAlign w:val="superscript"/>
        </w:rPr>
        <w:t xml:space="preserve">× </w:t>
      </w:r>
      <w:r>
        <w:t xml:space="preserve">with </w:t>
      </w:r>
      <w:r>
        <w:rPr>
          <w:i/>
        </w:rPr>
        <w:t>ϕ</w:t>
      </w:r>
      <w:r>
        <w:t>(</w:t>
      </w:r>
      <w:r>
        <w:rPr>
          <w:i/>
        </w:rPr>
        <w:t>x</w:t>
      </w:r>
      <w:r>
        <w:t xml:space="preserve">) = </w:t>
      </w:r>
      <w:proofErr w:type="spellStart"/>
      <w:r>
        <w:t>cos</w:t>
      </w:r>
      <w:r>
        <w:rPr>
          <w:i/>
        </w:rPr>
        <w:t>x</w:t>
      </w:r>
      <w:proofErr w:type="spellEnd"/>
      <w:r>
        <w:rPr>
          <w:i/>
        </w:rPr>
        <w:t xml:space="preserve"> </w:t>
      </w:r>
      <w:r>
        <w:t xml:space="preserve">+ </w:t>
      </w:r>
      <w:proofErr w:type="spellStart"/>
      <w:r>
        <w:rPr>
          <w:i/>
        </w:rPr>
        <w:t>i</w:t>
      </w:r>
      <w:r>
        <w:t>sin</w:t>
      </w:r>
      <w:r>
        <w:rPr>
          <w:i/>
        </w:rPr>
        <w:t>x</w:t>
      </w:r>
      <w:proofErr w:type="spellEnd"/>
      <w:r>
        <w:t>.</w:t>
      </w:r>
    </w:p>
    <w:p w:rsidR="00AC6276" w:rsidRDefault="00AC6276" w:rsidP="008549D0">
      <w:pPr>
        <w:spacing w:after="274"/>
      </w:pPr>
    </w:p>
    <w:p w:rsidR="00AC6276" w:rsidRDefault="008549D0">
      <w:pPr>
        <w:numPr>
          <w:ilvl w:val="0"/>
          <w:numId w:val="1"/>
        </w:numPr>
        <w:spacing w:after="84"/>
        <w:ind w:left="546" w:hanging="279"/>
      </w:pPr>
      <w:r>
        <w:t xml:space="preserve">If </w:t>
      </w:r>
      <w:r>
        <w:rPr>
          <w:i/>
        </w:rPr>
        <w:t xml:space="preserve">G </w:t>
      </w:r>
      <w:r>
        <w:t xml:space="preserve">is an abelian group and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>G</w:t>
      </w:r>
      <w:r>
        <w:rPr>
          <w:vertAlign w:val="superscript"/>
        </w:rPr>
        <w:t xml:space="preserve">0 </w:t>
      </w:r>
      <w:r>
        <w:t xml:space="preserve">is a homomorphism of </w:t>
      </w:r>
      <w:r>
        <w:rPr>
          <w:i/>
        </w:rPr>
        <w:t>G onto G</w:t>
      </w:r>
      <w:r>
        <w:rPr>
          <w:vertAlign w:val="superscript"/>
        </w:rPr>
        <w:t>0</w:t>
      </w:r>
      <w:r>
        <w:t>, prove that</w:t>
      </w:r>
    </w:p>
    <w:p w:rsidR="00AC6276" w:rsidRDefault="008549D0">
      <w:pPr>
        <w:spacing w:after="295"/>
        <w:ind w:left="555"/>
      </w:pPr>
      <w:r>
        <w:rPr>
          <w:i/>
        </w:rPr>
        <w:t>G</w:t>
      </w:r>
      <w:r>
        <w:rPr>
          <w:vertAlign w:val="superscript"/>
        </w:rPr>
        <w:t xml:space="preserve">0 </w:t>
      </w:r>
      <w:r>
        <w:t>is abelian.</w:t>
      </w:r>
    </w:p>
    <w:p w:rsidR="00AC6276" w:rsidRDefault="008549D0">
      <w:pPr>
        <w:numPr>
          <w:ilvl w:val="0"/>
          <w:numId w:val="1"/>
        </w:numPr>
        <w:spacing w:line="338" w:lineRule="auto"/>
        <w:ind w:left="546" w:hanging="279"/>
      </w:pPr>
      <w:r>
        <w:t xml:space="preserve">If </w:t>
      </w:r>
      <w:r>
        <w:rPr>
          <w:i/>
        </w:rPr>
        <w:t xml:space="preserve">N </w:t>
      </w:r>
      <w:r>
        <w:t xml:space="preserve">and </w:t>
      </w:r>
      <w:r>
        <w:rPr>
          <w:i/>
        </w:rPr>
        <w:t xml:space="preserve">M </w:t>
      </w:r>
      <w:r>
        <w:t xml:space="preserve">are normal subgroups of </w:t>
      </w:r>
      <w:r>
        <w:rPr>
          <w:i/>
        </w:rPr>
        <w:t>G</w:t>
      </w:r>
      <w:r>
        <w:t xml:space="preserve">, and </w:t>
      </w:r>
      <w:r>
        <w:rPr>
          <w:i/>
        </w:rPr>
        <w:t xml:space="preserve">MN </w:t>
      </w:r>
      <w:r>
        <w:t xml:space="preserve">= </w:t>
      </w:r>
      <w:r>
        <w:t>{</w:t>
      </w:r>
      <w:proofErr w:type="spellStart"/>
      <w:r>
        <w:rPr>
          <w:i/>
        </w:rPr>
        <w:t>mn</w:t>
      </w:r>
      <w:r>
        <w:t>|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r>
        <w:t xml:space="preserve">∈ </w:t>
      </w:r>
      <w:r>
        <w:rPr>
          <w:i/>
        </w:rPr>
        <w:t xml:space="preserve">M, n </w:t>
      </w:r>
      <w:r>
        <w:t xml:space="preserve">∈ </w:t>
      </w:r>
      <w:r>
        <w:rPr>
          <w:i/>
        </w:rPr>
        <w:t>N</w:t>
      </w:r>
      <w:r>
        <w:t>}</w:t>
      </w:r>
      <w:r>
        <w:t xml:space="preserve">, prove that </w:t>
      </w:r>
      <w:r>
        <w:rPr>
          <w:i/>
        </w:rPr>
        <w:t xml:space="preserve">MN </w:t>
      </w:r>
      <w:r>
        <w:t xml:space="preserve">is also a normal subgroup of </w:t>
      </w:r>
      <w:r>
        <w:rPr>
          <w:i/>
        </w:rPr>
        <w:t>G</w:t>
      </w:r>
      <w:r>
        <w:t>.</w:t>
      </w:r>
    </w:p>
    <w:p w:rsidR="00AC6276" w:rsidRDefault="008549D0">
      <w:pPr>
        <w:numPr>
          <w:ilvl w:val="0"/>
          <w:numId w:val="1"/>
        </w:numPr>
        <w:spacing w:line="338" w:lineRule="auto"/>
        <w:ind w:left="546" w:hanging="279"/>
      </w:pPr>
      <w:r>
        <w:t xml:space="preserve">An isomorphism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 xml:space="preserve">G </w:t>
      </w:r>
      <w:r>
        <w:t xml:space="preserve">is called an </w:t>
      </w:r>
      <w:proofErr w:type="spellStart"/>
      <w:r>
        <w:rPr>
          <w:i/>
        </w:rPr>
        <w:t>automorphism</w:t>
      </w:r>
      <w:proofErr w:type="spellEnd"/>
      <w:r>
        <w:rPr>
          <w:i/>
        </w:rPr>
        <w:t xml:space="preserve"> </w:t>
      </w:r>
      <w:r>
        <w:t xml:space="preserve">if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takes a group onto itself. A subgroup </w:t>
      </w:r>
      <w:r>
        <w:rPr>
          <w:i/>
        </w:rPr>
        <w:t xml:space="preserve">M </w:t>
      </w:r>
      <w:r>
        <w:t xml:space="preserve">of a group </w:t>
      </w:r>
      <w:r>
        <w:rPr>
          <w:i/>
        </w:rPr>
        <w:t xml:space="preserve">G </w:t>
      </w:r>
      <w:r>
        <w:t xml:space="preserve">is called </w:t>
      </w:r>
      <w:r>
        <w:rPr>
          <w:i/>
        </w:rPr>
        <w:t xml:space="preserve">characteristic </w:t>
      </w:r>
      <w:r>
        <w:t xml:space="preserve">if </w:t>
      </w:r>
      <w:r>
        <w:rPr>
          <w:i/>
        </w:rPr>
        <w:t>ϕ</w:t>
      </w:r>
      <w:r>
        <w:t>(</w:t>
      </w:r>
      <w:r>
        <w:rPr>
          <w:i/>
        </w:rPr>
        <w:t>M</w:t>
      </w:r>
      <w:r>
        <w:t xml:space="preserve">) = </w:t>
      </w:r>
      <w:r>
        <w:rPr>
          <w:i/>
        </w:rPr>
        <w:t xml:space="preserve">M </w:t>
      </w:r>
      <w:r>
        <w:t xml:space="preserve">for all </w:t>
      </w:r>
      <w:proofErr w:type="spellStart"/>
      <w:r>
        <w:t>automorphisms</w:t>
      </w:r>
      <w:proofErr w:type="spellEnd"/>
      <w:r>
        <w:t xml:space="preserve"> </w:t>
      </w:r>
      <w:r>
        <w:rPr>
          <w:i/>
        </w:rPr>
        <w:t>ϕ</w:t>
      </w:r>
      <w:r>
        <w:rPr>
          <w:i/>
        </w:rPr>
        <w:t xml:space="preserve"> </w:t>
      </w:r>
      <w:r>
        <w:t xml:space="preserve">of </w:t>
      </w:r>
      <w:r>
        <w:rPr>
          <w:i/>
        </w:rPr>
        <w:t>G</w:t>
      </w:r>
      <w:r>
        <w:t>. Prove that:</w:t>
      </w:r>
    </w:p>
    <w:p w:rsidR="00AC6276" w:rsidRDefault="008549D0">
      <w:pPr>
        <w:numPr>
          <w:ilvl w:val="1"/>
          <w:numId w:val="1"/>
        </w:numPr>
        <w:ind w:hanging="400"/>
      </w:pPr>
      <w:r>
        <w:rPr>
          <w:i/>
        </w:rPr>
        <w:t xml:space="preserve">M </w:t>
      </w:r>
      <w:r>
        <w:t xml:space="preserve">characteristic in </w:t>
      </w:r>
      <w:r>
        <w:rPr>
          <w:i/>
        </w:rPr>
        <w:t xml:space="preserve">G </w:t>
      </w:r>
      <w:r>
        <w:t xml:space="preserve">implies that </w:t>
      </w:r>
      <w:r>
        <w:rPr>
          <w:i/>
        </w:rPr>
        <w:t xml:space="preserve">M </w:t>
      </w:r>
      <w:r>
        <w:t xml:space="preserve">is normal in </w:t>
      </w:r>
      <w:r>
        <w:rPr>
          <w:i/>
        </w:rPr>
        <w:t>G</w:t>
      </w:r>
      <w:r>
        <w:t>.</w:t>
      </w:r>
    </w:p>
    <w:p w:rsidR="00AC6276" w:rsidRDefault="008549D0">
      <w:pPr>
        <w:numPr>
          <w:ilvl w:val="1"/>
          <w:numId w:val="1"/>
        </w:numPr>
        <w:ind w:hanging="400"/>
      </w:pPr>
      <w:r>
        <w:rPr>
          <w:i/>
        </w:rPr>
        <w:t xml:space="preserve">M,N </w:t>
      </w:r>
      <w:r>
        <w:t xml:space="preserve">characteristic in </w:t>
      </w:r>
      <w:r>
        <w:rPr>
          <w:i/>
        </w:rPr>
        <w:t xml:space="preserve">G </w:t>
      </w:r>
      <w:r>
        <w:t xml:space="preserve">implies that </w:t>
      </w:r>
      <w:r>
        <w:rPr>
          <w:i/>
        </w:rPr>
        <w:t xml:space="preserve">MN </w:t>
      </w:r>
      <w:r>
        <w:t xml:space="preserve">is characteristic in </w:t>
      </w:r>
      <w:r>
        <w:rPr>
          <w:i/>
        </w:rPr>
        <w:t>G</w:t>
      </w:r>
      <w:r>
        <w:t>.</w:t>
      </w:r>
    </w:p>
    <w:p w:rsidR="00AC6276" w:rsidRDefault="008549D0">
      <w:pPr>
        <w:numPr>
          <w:ilvl w:val="1"/>
          <w:numId w:val="1"/>
        </w:numPr>
        <w:spacing w:line="338" w:lineRule="auto"/>
        <w:ind w:hanging="400"/>
      </w:pPr>
      <w:r>
        <w:t xml:space="preserve">A normal subgroup of a group </w:t>
      </w:r>
      <w:r>
        <w:rPr>
          <w:i/>
        </w:rPr>
        <w:t xml:space="preserve">need not </w:t>
      </w:r>
      <w:r>
        <w:t xml:space="preserve">be characteristic. (Note: this requires that you find an example of a group </w:t>
      </w:r>
      <w:r>
        <w:rPr>
          <w:i/>
        </w:rPr>
        <w:t xml:space="preserve">G </w:t>
      </w:r>
      <w:r>
        <w:t xml:space="preserve">with a </w:t>
      </w:r>
      <w:proofErr w:type="spellStart"/>
      <w:r>
        <w:t>noncharacteristic</w:t>
      </w:r>
      <w:proofErr w:type="spellEnd"/>
      <w:r>
        <w:t xml:space="preserve"> normal subgroup.)</w:t>
      </w:r>
    </w:p>
    <w:p w:rsidR="00AC6276" w:rsidRDefault="008549D0">
      <w:pPr>
        <w:numPr>
          <w:ilvl w:val="0"/>
          <w:numId w:val="1"/>
        </w:numPr>
        <w:spacing w:line="354" w:lineRule="auto"/>
        <w:ind w:left="546" w:hanging="279"/>
      </w:pPr>
      <w:r>
        <w:t xml:space="preserve">Let </w:t>
      </w:r>
      <w:r>
        <w:rPr>
          <w:i/>
        </w:rPr>
        <w:t xml:space="preserve">G </w:t>
      </w:r>
      <w:r>
        <w:t xml:space="preserve">be a group and </w:t>
      </w:r>
      <w:r>
        <w:rPr>
          <w:i/>
        </w:rPr>
        <w:t xml:space="preserve">H </w:t>
      </w:r>
      <w:r>
        <w:t xml:space="preserve">a subgroup of </w:t>
      </w:r>
      <w:r>
        <w:rPr>
          <w:i/>
        </w:rPr>
        <w:t>G</w:t>
      </w:r>
      <w:r>
        <w:t xml:space="preserve">. Let </w:t>
      </w:r>
      <w:r>
        <w:rPr>
          <w:i/>
        </w:rPr>
        <w:t xml:space="preserve">S </w:t>
      </w:r>
      <w:r>
        <w:t xml:space="preserve">= </w:t>
      </w:r>
      <w:r>
        <w:t>{</w:t>
      </w:r>
      <w:proofErr w:type="spellStart"/>
      <w:r>
        <w:rPr>
          <w:i/>
        </w:rPr>
        <w:t>Ha</w:t>
      </w:r>
      <w:r>
        <w:t>|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r>
        <w:t xml:space="preserve">∈ </w:t>
      </w:r>
      <w:r>
        <w:rPr>
          <w:i/>
        </w:rPr>
        <w:t>G</w:t>
      </w:r>
      <w:r>
        <w:t xml:space="preserve">} </w:t>
      </w:r>
      <w:r>
        <w:t xml:space="preserve">be the set of all right </w:t>
      </w:r>
      <w:proofErr w:type="spellStart"/>
      <w:r>
        <w:t>cosets</w:t>
      </w:r>
      <w:proofErr w:type="spellEnd"/>
      <w:r>
        <w:t xml:space="preserve"> of </w:t>
      </w:r>
      <w:r>
        <w:rPr>
          <w:i/>
        </w:rPr>
        <w:t xml:space="preserve">H </w:t>
      </w:r>
      <w:r>
        <w:t xml:space="preserve">in </w:t>
      </w:r>
      <w:r>
        <w:rPr>
          <w:i/>
        </w:rPr>
        <w:t>G</w:t>
      </w:r>
      <w:r>
        <w:t xml:space="preserve">. Define, for </w:t>
      </w:r>
      <w:r>
        <w:rPr>
          <w:i/>
        </w:rPr>
        <w:t xml:space="preserve">b </w:t>
      </w:r>
      <w:r>
        <w:t xml:space="preserve">∈ </w:t>
      </w:r>
      <w:r>
        <w:rPr>
          <w:i/>
        </w:rPr>
        <w:t>G</w:t>
      </w:r>
      <w:r>
        <w:t xml:space="preserve">, the map </w:t>
      </w:r>
      <w:r>
        <w:rPr>
          <w:i/>
        </w:rPr>
        <w:t xml:space="preserve">Tb </w:t>
      </w:r>
      <w:r>
        <w:t xml:space="preserve">: </w:t>
      </w:r>
      <w:r>
        <w:rPr>
          <w:i/>
        </w:rPr>
        <w:t xml:space="preserve">S </w:t>
      </w:r>
      <w:r>
        <w:t xml:space="preserve">→ </w:t>
      </w:r>
      <w:r>
        <w:rPr>
          <w:i/>
        </w:rPr>
        <w:t xml:space="preserve">S </w:t>
      </w:r>
      <w:r>
        <w:t xml:space="preserve">by </w:t>
      </w:r>
      <w:r>
        <w:rPr>
          <w:i/>
        </w:rPr>
        <w:t>T</w:t>
      </w:r>
      <w:r>
        <w:rPr>
          <w:i/>
          <w:vertAlign w:val="subscript"/>
        </w:rPr>
        <w:t>b</w:t>
      </w:r>
      <w:r>
        <w:t>(</w:t>
      </w:r>
      <w:r>
        <w:rPr>
          <w:i/>
        </w:rPr>
        <w:t>Ha</w:t>
      </w:r>
      <w:r>
        <w:t xml:space="preserve">) = </w:t>
      </w:r>
      <w:r>
        <w:rPr>
          <w:i/>
        </w:rPr>
        <w:t>Hab</w:t>
      </w:r>
      <w:r>
        <w:rPr>
          <w:vertAlign w:val="superscript"/>
        </w:rPr>
        <w:t>−</w:t>
      </w:r>
      <w:r>
        <w:rPr>
          <w:vertAlign w:val="superscript"/>
        </w:rPr>
        <w:t>1</w:t>
      </w:r>
      <w:r>
        <w:t xml:space="preserve">. Also denote </w:t>
      </w:r>
      <w:r>
        <w:rPr>
          <w:i/>
        </w:rPr>
        <w:t>A</w:t>
      </w:r>
      <w:r>
        <w:t>(</w:t>
      </w:r>
      <w:r>
        <w:rPr>
          <w:i/>
        </w:rPr>
        <w:t>S</w:t>
      </w:r>
      <w:r>
        <w:t xml:space="preserve">) as the set of all one-to-one maps from </w:t>
      </w:r>
      <w:r>
        <w:rPr>
          <w:i/>
        </w:rPr>
        <w:t xml:space="preserve">S </w:t>
      </w:r>
      <w:r>
        <w:t xml:space="preserve">to </w:t>
      </w:r>
      <w:r>
        <w:rPr>
          <w:i/>
        </w:rPr>
        <w:t>S</w:t>
      </w:r>
      <w:r>
        <w:t>.</w:t>
      </w:r>
    </w:p>
    <w:p w:rsidR="00AC6276" w:rsidRDefault="008549D0">
      <w:pPr>
        <w:numPr>
          <w:ilvl w:val="1"/>
          <w:numId w:val="1"/>
        </w:numPr>
        <w:spacing w:after="70" w:line="359" w:lineRule="auto"/>
        <w:ind w:hanging="400"/>
      </w:pPr>
      <w:r>
        <w:t xml:space="preserve">Prove that </w:t>
      </w:r>
      <w:proofErr w:type="spellStart"/>
      <w:r>
        <w:rPr>
          <w:i/>
        </w:rPr>
        <w:t>T</w:t>
      </w:r>
      <w:r>
        <w:rPr>
          <w:i/>
          <w:vertAlign w:val="subscript"/>
        </w:rPr>
        <w:t>b</w:t>
      </w:r>
      <w:r>
        <w:rPr>
          <w:i/>
        </w:rPr>
        <w:t>T</w:t>
      </w:r>
      <w:r>
        <w:rPr>
          <w:i/>
          <w:vertAlign w:val="subscript"/>
        </w:rPr>
        <w:t>c</w:t>
      </w:r>
      <w:proofErr w:type="spellEnd"/>
      <w:r>
        <w:rPr>
          <w:i/>
          <w:vertAlign w:val="subscript"/>
        </w:rPr>
        <w:t xml:space="preserve"> </w:t>
      </w:r>
      <w:r>
        <w:t xml:space="preserve">= </w:t>
      </w:r>
      <w:r>
        <w:rPr>
          <w:i/>
        </w:rPr>
        <w:t>T</w:t>
      </w:r>
      <w:r>
        <w:rPr>
          <w:i/>
          <w:vertAlign w:val="subscript"/>
        </w:rPr>
        <w:t xml:space="preserve">bc </w:t>
      </w:r>
      <w:r>
        <w:t xml:space="preserve">for all </w:t>
      </w:r>
      <w:proofErr w:type="spellStart"/>
      <w:r>
        <w:rPr>
          <w:i/>
        </w:rPr>
        <w:t>b,c</w:t>
      </w:r>
      <w:proofErr w:type="spellEnd"/>
      <w:r>
        <w:rPr>
          <w:i/>
        </w:rPr>
        <w:t xml:space="preserve"> </w:t>
      </w:r>
      <w:r>
        <w:t xml:space="preserve">∈ </w:t>
      </w:r>
      <w:r>
        <w:rPr>
          <w:i/>
        </w:rPr>
        <w:t xml:space="preserve">G </w:t>
      </w:r>
      <w:r>
        <w:t xml:space="preserve">(therefore the mapping </w:t>
      </w:r>
      <w:r>
        <w:rPr>
          <w:i/>
        </w:rPr>
        <w:t xml:space="preserve">ψ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>A</w:t>
      </w:r>
      <w:r>
        <w:t>(</w:t>
      </w:r>
      <w:r>
        <w:rPr>
          <w:i/>
        </w:rPr>
        <w:t>S</w:t>
      </w:r>
      <w:r>
        <w:t xml:space="preserve">) defined by </w:t>
      </w:r>
      <w:r>
        <w:rPr>
          <w:i/>
        </w:rPr>
        <w:t>ψ</w:t>
      </w:r>
      <w:r>
        <w:t>(</w:t>
      </w:r>
      <w:r>
        <w:rPr>
          <w:i/>
        </w:rPr>
        <w:t>b</w:t>
      </w:r>
      <w:r>
        <w:t xml:space="preserve">) = </w:t>
      </w:r>
      <w:r>
        <w:rPr>
          <w:i/>
        </w:rPr>
        <w:t>T</w:t>
      </w:r>
      <w:r>
        <w:rPr>
          <w:i/>
          <w:vertAlign w:val="subscript"/>
        </w:rPr>
        <w:t xml:space="preserve">b </w:t>
      </w:r>
      <w:r>
        <w:t>is a homomorphism.)</w:t>
      </w:r>
    </w:p>
    <w:p w:rsidR="00AC6276" w:rsidRDefault="008549D0">
      <w:pPr>
        <w:numPr>
          <w:ilvl w:val="1"/>
          <w:numId w:val="1"/>
        </w:numPr>
        <w:ind w:hanging="400"/>
      </w:pPr>
      <w:r>
        <w:t>Describe Ker(</w:t>
      </w:r>
      <w:r>
        <w:rPr>
          <w:i/>
        </w:rPr>
        <w:t>ψ</w:t>
      </w:r>
      <w:r>
        <w:t xml:space="preserve">) , the kernel of </w:t>
      </w:r>
      <w:r>
        <w:rPr>
          <w:i/>
        </w:rPr>
        <w:t xml:space="preserve">ψ </w:t>
      </w:r>
      <w:r>
        <w:t xml:space="preserve">: </w:t>
      </w:r>
      <w:r>
        <w:rPr>
          <w:i/>
        </w:rPr>
        <w:t xml:space="preserve">G </w:t>
      </w:r>
      <w:r>
        <w:t xml:space="preserve">→ </w:t>
      </w:r>
      <w:r>
        <w:rPr>
          <w:i/>
        </w:rPr>
        <w:t>A</w:t>
      </w:r>
      <w:r>
        <w:t>(</w:t>
      </w:r>
      <w:r>
        <w:rPr>
          <w:i/>
        </w:rPr>
        <w:t>S</w:t>
      </w:r>
      <w:r>
        <w:t>).</w:t>
      </w:r>
    </w:p>
    <w:p w:rsidR="00AC6276" w:rsidRDefault="008549D0">
      <w:pPr>
        <w:numPr>
          <w:ilvl w:val="1"/>
          <w:numId w:val="1"/>
        </w:numPr>
        <w:spacing w:after="153" w:line="337" w:lineRule="auto"/>
        <w:ind w:hanging="400"/>
      </w:pPr>
      <w:r>
        <w:t>Show that Ker(</w:t>
      </w:r>
      <w:r>
        <w:rPr>
          <w:i/>
        </w:rPr>
        <w:t>ψ</w:t>
      </w:r>
      <w:r>
        <w:t xml:space="preserve">) is the largest normal subgroup of </w:t>
      </w:r>
      <w:r>
        <w:rPr>
          <w:i/>
        </w:rPr>
        <w:t xml:space="preserve">G </w:t>
      </w:r>
      <w:r>
        <w:t xml:space="preserve">lying in </w:t>
      </w:r>
      <w:r>
        <w:rPr>
          <w:i/>
        </w:rPr>
        <w:t>H</w:t>
      </w:r>
      <w:r>
        <w:t xml:space="preserve">. (largest in the sense that if some subgroup </w:t>
      </w:r>
      <w:r>
        <w:rPr>
          <w:i/>
        </w:rPr>
        <w:t xml:space="preserve">N </w:t>
      </w:r>
      <w:r>
        <w:t xml:space="preserve">is normal in </w:t>
      </w:r>
      <w:r>
        <w:rPr>
          <w:i/>
        </w:rPr>
        <w:t xml:space="preserve">G </w:t>
      </w:r>
      <w:r>
        <w:t xml:space="preserve">and </w:t>
      </w:r>
      <w:r>
        <w:rPr>
          <w:i/>
        </w:rPr>
        <w:t xml:space="preserve">N </w:t>
      </w:r>
      <w:r>
        <w:t xml:space="preserve">⊂ </w:t>
      </w:r>
      <w:r>
        <w:rPr>
          <w:i/>
        </w:rPr>
        <w:t>H</w:t>
      </w:r>
      <w:r>
        <w:t xml:space="preserve">, then </w:t>
      </w:r>
      <w:r>
        <w:rPr>
          <w:i/>
        </w:rPr>
        <w:t xml:space="preserve">N </w:t>
      </w:r>
      <w:r>
        <w:t xml:space="preserve">⊂ </w:t>
      </w:r>
      <w:r>
        <w:t>Ker(</w:t>
      </w:r>
      <w:r>
        <w:rPr>
          <w:i/>
        </w:rPr>
        <w:t>ψ</w:t>
      </w:r>
      <w:r>
        <w:t>))</w:t>
      </w:r>
    </w:p>
    <w:p w:rsidR="00AC6276" w:rsidRDefault="00AC6276" w:rsidP="008549D0">
      <w:pPr>
        <w:spacing w:after="226"/>
      </w:pPr>
    </w:p>
    <w:sectPr w:rsidR="00AC6276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5E93"/>
    <w:multiLevelType w:val="hybridMultilevel"/>
    <w:tmpl w:val="E4588F3E"/>
    <w:lvl w:ilvl="0" w:tplc="B24A329C">
      <w:start w:val="1"/>
      <w:numFmt w:val="decimal"/>
      <w:lvlText w:val="%1."/>
      <w:lvlJc w:val="left"/>
      <w:pPr>
        <w:ind w:left="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8099A">
      <w:start w:val="1"/>
      <w:numFmt w:val="lowerLetter"/>
      <w:lvlText w:val="(%2)"/>
      <w:lvlJc w:val="left"/>
      <w:pPr>
        <w:ind w:left="10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4C128">
      <w:start w:val="1"/>
      <w:numFmt w:val="lowerRoman"/>
      <w:lvlText w:val="%3"/>
      <w:lvlJc w:val="left"/>
      <w:pPr>
        <w:ind w:left="17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8602FC">
      <w:start w:val="1"/>
      <w:numFmt w:val="decimal"/>
      <w:lvlText w:val="%4"/>
      <w:lvlJc w:val="left"/>
      <w:pPr>
        <w:ind w:left="24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2A0B2">
      <w:start w:val="1"/>
      <w:numFmt w:val="lowerLetter"/>
      <w:lvlText w:val="%5"/>
      <w:lvlJc w:val="left"/>
      <w:pPr>
        <w:ind w:left="31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BEB310">
      <w:start w:val="1"/>
      <w:numFmt w:val="lowerRoman"/>
      <w:lvlText w:val="%6"/>
      <w:lvlJc w:val="left"/>
      <w:pPr>
        <w:ind w:left="38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0B1C">
      <w:start w:val="1"/>
      <w:numFmt w:val="decimal"/>
      <w:lvlText w:val="%7"/>
      <w:lvlJc w:val="left"/>
      <w:pPr>
        <w:ind w:left="45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C3D12">
      <w:start w:val="1"/>
      <w:numFmt w:val="lowerLetter"/>
      <w:lvlText w:val="%8"/>
      <w:lvlJc w:val="left"/>
      <w:pPr>
        <w:ind w:left="53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7280">
      <w:start w:val="1"/>
      <w:numFmt w:val="lowerRoman"/>
      <w:lvlText w:val="%9"/>
      <w:lvlJc w:val="left"/>
      <w:pPr>
        <w:ind w:left="60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76"/>
    <w:rsid w:val="008549D0"/>
    <w:rsid w:val="00A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A20C"/>
  <w15:docId w15:val="{2179D657-2541-4E71-B07E-2F2FE03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9"/>
      <w:ind w:left="277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Abdulilah Albkhat</dc:creator>
  <cp:keywords/>
  <cp:lastModifiedBy>Abdulilah Albkhat</cp:lastModifiedBy>
  <cp:revision>3</cp:revision>
  <dcterms:created xsi:type="dcterms:W3CDTF">2017-07-14T21:56:00Z</dcterms:created>
  <dcterms:modified xsi:type="dcterms:W3CDTF">2017-07-14T21:56:00Z</dcterms:modified>
</cp:coreProperties>
</file>