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F934C" w14:textId="77777777" w:rsidR="00112C6A" w:rsidRDefault="004A627A" w:rsidP="00112C6A">
      <w:pPr>
        <w:spacing w:line="480" w:lineRule="auto"/>
      </w:pPr>
      <w:r>
        <w:t xml:space="preserve">   </w:t>
      </w:r>
      <w:r w:rsidRPr="00B16CB3">
        <w:t xml:space="preserve">     </w:t>
      </w:r>
      <w:r w:rsidR="00112C6A">
        <w:t xml:space="preserve">  </w:t>
      </w:r>
      <w:r w:rsidR="008849DD" w:rsidRPr="00B16CB3">
        <w:t xml:space="preserve">  </w:t>
      </w:r>
      <w:r w:rsidRPr="00B16CB3">
        <w:t xml:space="preserve">People are born with their own genders, whether male or female, and start to follow the ideal traits of their gender since they were young. Girls are taught to be feminine, </w:t>
      </w:r>
      <w:r w:rsidR="008849DD" w:rsidRPr="00B16CB3">
        <w:t xml:space="preserve">wearing pretty dress playing around with the Barbie dolls, while the boys are learned to be strong and playing with those cars and robots. </w:t>
      </w:r>
      <w:r w:rsidR="00B16CB3">
        <w:t>So why do this happen? In the reading</w:t>
      </w:r>
      <w:r w:rsidR="00112C6A">
        <w:t xml:space="preserve"> of Image-Based Culture, the author states that </w:t>
      </w:r>
      <w:r w:rsidRPr="00B16CB3">
        <w:t xml:space="preserve">“Because we live inside the consumer culture, and most of us have one so for most of our lives, it is sometimes difficult to locate the origins of our most cherished values and assumptions. They simply appear to be part of our natural world.” </w:t>
      </w:r>
      <w:r w:rsidR="00112C6A" w:rsidRPr="00112C6A">
        <w:rPr>
          <w:i/>
        </w:rPr>
        <w:t>(</w:t>
      </w:r>
      <w:proofErr w:type="spellStart"/>
      <w:r w:rsidR="00112C6A" w:rsidRPr="00112C6A">
        <w:rPr>
          <w:i/>
        </w:rPr>
        <w:t>Sut</w:t>
      </w:r>
      <w:proofErr w:type="spellEnd"/>
      <w:r w:rsidR="00112C6A" w:rsidRPr="00112C6A">
        <w:rPr>
          <w:i/>
        </w:rPr>
        <w:t xml:space="preserve"> </w:t>
      </w:r>
      <w:proofErr w:type="spellStart"/>
      <w:r w:rsidR="00112C6A" w:rsidRPr="00112C6A">
        <w:rPr>
          <w:i/>
        </w:rPr>
        <w:t>Jhally</w:t>
      </w:r>
      <w:proofErr w:type="spellEnd"/>
      <w:r w:rsidR="00112C6A" w:rsidRPr="00112C6A">
        <w:rPr>
          <w:i/>
        </w:rPr>
        <w:t>, Image-Based Culture)</w:t>
      </w:r>
      <w:r w:rsidR="00112C6A">
        <w:t xml:space="preserve">  </w:t>
      </w:r>
      <w:r w:rsidR="008849DD" w:rsidRPr="00B16CB3">
        <w:t xml:space="preserve">For my </w:t>
      </w:r>
      <w:r w:rsidR="003C6139" w:rsidRPr="00B16CB3">
        <w:t>content analysis</w:t>
      </w:r>
      <w:r w:rsidR="008849DD" w:rsidRPr="00B16CB3">
        <w:t xml:space="preserve"> paper, I choose to talk about construction and representation of both males and females, and in this case girls and boys or adolescents. </w:t>
      </w:r>
      <w:r w:rsidR="003C6139" w:rsidRPr="00B16CB3">
        <w:t xml:space="preserve">Readers will understand how the socializing tool aimed at children results to gender ideologies that shape the social world in which they operate within. It will also give a chance for the opposite genders to understand their roles and the limitations of their boundaries. </w:t>
      </w:r>
    </w:p>
    <w:p w14:paraId="1D78238E" w14:textId="5C0F1BCE" w:rsidR="003C6139" w:rsidRPr="00B16CB3" w:rsidRDefault="00112C6A" w:rsidP="00112C6A">
      <w:pPr>
        <w:spacing w:line="480" w:lineRule="auto"/>
      </w:pPr>
      <w:r>
        <w:t xml:space="preserve">           </w:t>
      </w:r>
      <w:r w:rsidR="008849DD" w:rsidRPr="00B16CB3">
        <w:t>The media that I chose t</w:t>
      </w:r>
      <w:r w:rsidR="00B16CB3" w:rsidRPr="00B16CB3">
        <w:t>o analyze are three</w:t>
      </w:r>
      <w:r w:rsidR="008849DD" w:rsidRPr="00B16CB3">
        <w:t xml:space="preserve"> different magazines, as they appear to obtain enough contents regarding gender representation </w:t>
      </w:r>
      <w:r w:rsidR="003F4854" w:rsidRPr="00B16CB3">
        <w:t xml:space="preserve">in the media. The magazines are, Boys Act and Girls Appear; Toward Better Gender Equality; Funhouse Mirrors;” Each of the magazines is analyzed to examine and understand how the media represents gender and the implications it brings along with the representation. </w:t>
      </w:r>
      <w:r w:rsidR="005642CF" w:rsidRPr="00B16CB3">
        <w:t xml:space="preserve">The media was chosen because </w:t>
      </w:r>
      <w:r w:rsidR="00E2020B" w:rsidRPr="00B16CB3">
        <w:t xml:space="preserve">it enabled me to make the quantitative analysis clear as they counted the particulars of each variable for the purpose of a clear comparison between the two genders. The number of time each gender was represented in the different texts of the magazines was counted for comparison. </w:t>
      </w:r>
    </w:p>
    <w:p w14:paraId="24F8BAC1" w14:textId="4A8E2340" w:rsidR="003C6139" w:rsidRPr="00112C6A" w:rsidRDefault="003C6139" w:rsidP="00112C6A">
      <w:pPr>
        <w:spacing w:line="480" w:lineRule="auto"/>
        <w:ind w:firstLine="720"/>
        <w:jc w:val="both"/>
        <w:rPr>
          <w:rFonts w:cs="Arial"/>
          <w:bCs/>
        </w:rPr>
      </w:pPr>
      <w:r w:rsidRPr="00B16CB3">
        <w:rPr>
          <w:rFonts w:cs="Arial"/>
          <w:bCs/>
        </w:rPr>
        <w:lastRenderedPageBreak/>
        <w:t xml:space="preserve">The content analysis paper focused on children or adolescents between the age of 13 and 17 years. In the analysis, I </w:t>
      </w:r>
      <w:r w:rsidRPr="00B16CB3">
        <w:t xml:space="preserve">mainly focused on the text content of the magazines and also observed the pictures as they were depicted in the magazines. </w:t>
      </w:r>
      <w:r w:rsidRPr="00B16CB3">
        <w:rPr>
          <w:rFonts w:cs="Arial"/>
          <w:bCs/>
        </w:rPr>
        <w:t xml:space="preserve">Different variables are observed from both genders; the first variable focused on the number of girls or female adolescents who initiated a relationship versus a boy or a male adolescent. The second variable focused on the number of adolescents who took care of their siblings, both boys and girls at the age of between 13 and 17 years. The third variable was analyzed on the basis of how many boys and girls were concerned about their look to the extent of using make-up. </w:t>
      </w:r>
    </w:p>
    <w:p w14:paraId="1C0C33CD" w14:textId="717BDFB4" w:rsidR="00E2020B" w:rsidRPr="00B16CB3" w:rsidRDefault="00112C6A" w:rsidP="00112C6A">
      <w:pPr>
        <w:spacing w:line="480" w:lineRule="auto"/>
      </w:pPr>
      <w:r>
        <w:t xml:space="preserve">        </w:t>
      </w:r>
      <w:r w:rsidR="00E2020B" w:rsidRPr="00B16CB3">
        <w:t xml:space="preserve">The “Boys Act and Girls Appear” magazine portrayed diverse roles played by the boys and girls in initiating a relationship. It showed different occasions when either gender initiated a relationship versus their opposite gender. In most cases, the society seems to believe that it is the role of boy child to initiate a relationship, but it was proved inaccurate in the magazine. </w:t>
      </w:r>
      <w:r w:rsidR="00E2020B" w:rsidRPr="00B16CB3">
        <w:rPr>
          <w:rFonts w:cs="Arial"/>
          <w:shd w:val="clear" w:color="auto" w:fill="FFFFFF"/>
        </w:rPr>
        <w:t xml:space="preserve">The “Toward Better Gender Equality” magazine showed a number of roles as they are played by both genders at the adolescent stage. In this magazine, the researcher was interested in the role of caregiving (taking care of younger siblings) as </w:t>
      </w:r>
      <w:proofErr w:type="gramStart"/>
      <w:r w:rsidR="00E2020B" w:rsidRPr="00B16CB3">
        <w:rPr>
          <w:rFonts w:cs="Arial"/>
          <w:shd w:val="clear" w:color="auto" w:fill="FFFFFF"/>
        </w:rPr>
        <w:t>it is played by both boys and girls</w:t>
      </w:r>
      <w:proofErr w:type="gramEnd"/>
      <w:r w:rsidR="00E2020B" w:rsidRPr="00B16CB3">
        <w:rPr>
          <w:rFonts w:cs="Arial"/>
          <w:shd w:val="clear" w:color="auto" w:fill="FFFFFF"/>
        </w:rPr>
        <w:t>.</w:t>
      </w:r>
      <w:r w:rsidR="00E2020B" w:rsidRPr="00B16CB3">
        <w:rPr>
          <w:rFonts w:ascii="Arial" w:hAnsi="Arial" w:cs="Arial"/>
          <w:shd w:val="clear" w:color="auto" w:fill="FFFFFF"/>
        </w:rPr>
        <w:t xml:space="preserve"> </w:t>
      </w:r>
      <w:r w:rsidR="00E2020B" w:rsidRPr="00B16CB3">
        <w:rPr>
          <w:rFonts w:cs="Arial"/>
          <w:shd w:val="clear" w:color="auto" w:fill="FFFFFF"/>
        </w:rPr>
        <w:t xml:space="preserve">The magazine, “Funhouse Mirrors” depicted diverse contexts when boys and girls were interested in using the mirrors to analyze their appearance, and to apply make-ups on their faces. It showed how both sexes were concerned about their appearance in the society. </w:t>
      </w:r>
    </w:p>
    <w:p w14:paraId="23AF5FB1" w14:textId="3841DDB9" w:rsidR="00C850D0" w:rsidRPr="00B16CB3" w:rsidRDefault="00112C6A" w:rsidP="00112C6A">
      <w:pPr>
        <w:spacing w:line="480" w:lineRule="auto"/>
        <w:rPr>
          <w:rFonts w:cs="Arial"/>
          <w:bCs/>
        </w:rPr>
      </w:pPr>
      <w:r>
        <w:rPr>
          <w:rFonts w:cs="Arial"/>
          <w:bCs/>
        </w:rPr>
        <w:t xml:space="preserve">              </w:t>
      </w:r>
      <w:r w:rsidR="00C850D0" w:rsidRPr="00B16CB3">
        <w:rPr>
          <w:rFonts w:cs="Arial"/>
          <w:bCs/>
        </w:rPr>
        <w:t>The three variables were recorded separately and I recorded when each gender was presented according to the variables respectively. For the first variable, the number of girls and boys were recorded when either was represented as initiating a relationship. For the second variable, I recorded the number of times either a boy or a girl is represented as taking care of their siblings. The recording was done each in their respective page and variable column. For the third variable, I recorded all the times when a girl appeared in make-up or showed concern about the way they look as compared to the male adolescents. The outlined rubric contains enough content that may be analyzed to depict either boys or girls initiating a relationship versus the opposite gender. Again, the rubric has comprehensive information that shows how girls and boys get concerned about their appearance. It also analyzes how boys and girls are represented while taking care of their siblings on different occasions. The content analysis eliminates the stereotypes of some household chores such as taking care of young ones being the work of the female gender. The belief that it is only men who ought to initiate relationships is also confirmed as void.</w:t>
      </w:r>
    </w:p>
    <w:p w14:paraId="19F6BE21" w14:textId="77777777" w:rsidR="00C850D0" w:rsidRPr="00B16CB3" w:rsidRDefault="00C850D0" w:rsidP="00112C6A">
      <w:pPr>
        <w:spacing w:line="480" w:lineRule="auto"/>
        <w:ind w:firstLine="720"/>
        <w:jc w:val="both"/>
        <w:rPr>
          <w:rFonts w:cs="Arial"/>
          <w:bCs/>
        </w:rPr>
      </w:pPr>
      <w:r w:rsidRPr="00B16CB3">
        <w:rPr>
          <w:rFonts w:cs="Arial"/>
          <w:bCs/>
        </w:rPr>
        <w:t xml:space="preserve">On combining the data gathered for the three variables, the girls are portrayed by the media as being more feminine when compared to the boys. Again, the stereotypes that depict some work for a particular gender are proved wrong, even though each gender is portrayed as either more feminine or more masculine than the other. In all the measured variables, the girls had 20 occasions portraying feminine characters while the boys had only 4 cases. Of the four cases when the boys were depicted portraying the feminine traits, two of them were when they were left to look after their young siblings, one of them is when the boys were concerned about their outward appearance and applying make-up, and the last one is when they were initiated in a relationship by their female counterparts. The rest of the instances, which is, the twenty cases, </w:t>
      </w:r>
      <w:proofErr w:type="gramStart"/>
      <w:r w:rsidRPr="00B16CB3">
        <w:rPr>
          <w:rFonts w:cs="Arial"/>
          <w:bCs/>
        </w:rPr>
        <w:t>the</w:t>
      </w:r>
      <w:proofErr w:type="gramEnd"/>
      <w:r w:rsidRPr="00B16CB3">
        <w:rPr>
          <w:rFonts w:cs="Arial"/>
          <w:bCs/>
        </w:rPr>
        <w:t xml:space="preserve"> girls are portrayed as being more feminine and having feminine traits. </w:t>
      </w:r>
    </w:p>
    <w:p w14:paraId="6215855A" w14:textId="2F7AAC59" w:rsidR="00C850D0" w:rsidRPr="00112C6A" w:rsidRDefault="00C850D0" w:rsidP="00112C6A">
      <w:pPr>
        <w:spacing w:line="480" w:lineRule="auto"/>
        <w:jc w:val="both"/>
        <w:rPr>
          <w:rFonts w:ascii="Arial" w:hAnsi="Arial" w:cs="Arial"/>
          <w:color w:val="222222"/>
          <w:shd w:val="clear" w:color="auto" w:fill="FFFFFF"/>
        </w:rPr>
      </w:pPr>
      <w:r w:rsidRPr="00B16CB3">
        <w:rPr>
          <w:rFonts w:cs="Arial"/>
          <w:bCs/>
        </w:rPr>
        <w:t>From the data collected, the first variable, initiating a relationship, the boys had only one occasion being initiated in a relationship while the girls had eight cases. These were when they were initiated in a relationship by the male counterparts. It has always been believed that it is the responsibility of boys to start or initiate a relationship. It is therefore evident that the boys are more masculine as the number of times when they initiated relationships is so outdo the girls.</w:t>
      </w:r>
      <w:r w:rsidR="00B16CB3" w:rsidRPr="00B16CB3">
        <w:rPr>
          <w:rFonts w:cs="Arial"/>
          <w:bCs/>
        </w:rPr>
        <w:t xml:space="preserve"> </w:t>
      </w:r>
      <w:r w:rsidRPr="00B16CB3">
        <w:rPr>
          <w:rFonts w:cs="Arial"/>
          <w:bCs/>
        </w:rPr>
        <w:t xml:space="preserve">For the second variable, it was only on two occasions when the boys were left to take care of their young siblings while their mother went bathing and breadwinning. The variable recorded six times when they were left to take care of their siblings. It is therefore the role of the females to take care of young ones as per the stereotype. The third variable depicts only one instance when the boys apply make-up and are concerned about how they look as compared to the girls who had six instances when they used make-up to improve their appearance. The girls portrayed the feminine trait of minding about their appearance in the society, as they are so much concerned about how they look like or how they appear. </w:t>
      </w:r>
      <w:r w:rsidR="00112C6A">
        <w:rPr>
          <w:rFonts w:cs="Arial"/>
          <w:bCs/>
        </w:rPr>
        <w:t xml:space="preserve">In the reading of </w:t>
      </w:r>
      <w:proofErr w:type="gramStart"/>
      <w:r w:rsidR="00112C6A">
        <w:rPr>
          <w:rFonts w:cs="Arial"/>
          <w:bCs/>
        </w:rPr>
        <w:t>Un</w:t>
      </w:r>
      <w:bookmarkStart w:id="0" w:name="_GoBack"/>
      <w:bookmarkEnd w:id="0"/>
      <w:r w:rsidR="00112C6A">
        <w:rPr>
          <w:rFonts w:cs="Arial"/>
          <w:bCs/>
        </w:rPr>
        <w:t>raveling</w:t>
      </w:r>
      <w:proofErr w:type="gramEnd"/>
      <w:r w:rsidR="00112C6A">
        <w:rPr>
          <w:rFonts w:cs="Arial"/>
          <w:bCs/>
        </w:rPr>
        <w:t xml:space="preserve"> the Knot, the author states that “</w:t>
      </w:r>
      <w:r w:rsidR="00112C6A" w:rsidRPr="00112C6A">
        <w:rPr>
          <w:rFonts w:cs="Arial"/>
          <w:color w:val="222222"/>
          <w:shd w:val="clear" w:color="auto" w:fill="FFFFFF"/>
        </w:rPr>
        <w:t>The application of makeup for women, however, is “natural”, in that, as Hall and Hebert (2004)</w:t>
      </w:r>
      <w:r w:rsidR="00112C6A">
        <w:rPr>
          <w:rFonts w:cs="Arial"/>
          <w:color w:val="222222"/>
          <w:shd w:val="clear" w:color="auto" w:fill="FFFFFF"/>
        </w:rPr>
        <w:t xml:space="preserve"> </w:t>
      </w:r>
      <w:r w:rsidR="00112C6A" w:rsidRPr="00112C6A">
        <w:rPr>
          <w:rFonts w:cs="Arial"/>
          <w:color w:val="222222"/>
          <w:shd w:val="clear" w:color="auto" w:fill="FFFFFF"/>
        </w:rPr>
        <w:t>noted, make up creates feminine identity.</w:t>
      </w:r>
      <w:r w:rsidR="00112C6A">
        <w:rPr>
          <w:rFonts w:cs="Arial"/>
          <w:color w:val="222222"/>
          <w:shd w:val="clear" w:color="auto" w:fill="FFFFFF"/>
        </w:rPr>
        <w:t>”</w:t>
      </w:r>
      <w:r w:rsidR="00112C6A" w:rsidRPr="00112C6A">
        <w:rPr>
          <w:rFonts w:cs="Arial"/>
          <w:color w:val="222222"/>
          <w:shd w:val="clear" w:color="auto" w:fill="FFFFFF"/>
        </w:rPr>
        <w:t xml:space="preserve"> (</w:t>
      </w:r>
      <w:r w:rsidR="00112C6A">
        <w:rPr>
          <w:rFonts w:cs="Arial"/>
          <w:color w:val="222222"/>
          <w:shd w:val="clear" w:color="auto" w:fill="FFFFFF"/>
        </w:rPr>
        <w:t xml:space="preserve">Erika </w:t>
      </w:r>
      <w:proofErr w:type="spellStart"/>
      <w:r w:rsidR="00112C6A">
        <w:rPr>
          <w:rFonts w:cs="Arial"/>
          <w:color w:val="222222"/>
          <w:shd w:val="clear" w:color="auto" w:fill="FFFFFF"/>
        </w:rPr>
        <w:t>Engstrom</w:t>
      </w:r>
      <w:proofErr w:type="spellEnd"/>
      <w:r w:rsidR="00112C6A" w:rsidRPr="00112C6A">
        <w:rPr>
          <w:rFonts w:cs="Arial"/>
          <w:color w:val="222222"/>
          <w:shd w:val="clear" w:color="auto" w:fill="FFFFFF"/>
        </w:rPr>
        <w:t>)</w:t>
      </w:r>
    </w:p>
    <w:p w14:paraId="6EA9B9E4" w14:textId="0BADC351" w:rsidR="00C850D0" w:rsidRDefault="00112C6A" w:rsidP="00112C6A">
      <w:pPr>
        <w:spacing w:line="480" w:lineRule="auto"/>
        <w:rPr>
          <w:rFonts w:cs="Arial"/>
          <w:bCs/>
        </w:rPr>
      </w:pPr>
      <w:r>
        <w:rPr>
          <w:rFonts w:cs="Arial"/>
          <w:bCs/>
        </w:rPr>
        <w:t xml:space="preserve">              </w:t>
      </w:r>
      <w:r w:rsidR="00C850D0" w:rsidRPr="00B16CB3">
        <w:rPr>
          <w:rFonts w:cs="Arial"/>
          <w:bCs/>
        </w:rPr>
        <w:t xml:space="preserve">From the analysis, </w:t>
      </w:r>
      <w:r w:rsidR="00B16CB3" w:rsidRPr="00B16CB3">
        <w:rPr>
          <w:rFonts w:cs="Arial"/>
          <w:bCs/>
        </w:rPr>
        <w:t>it</w:t>
      </w:r>
      <w:r w:rsidR="00C850D0" w:rsidRPr="00B16CB3">
        <w:rPr>
          <w:rFonts w:cs="Arial"/>
          <w:bCs/>
        </w:rPr>
        <w:t xml:space="preserve"> is evident that of each gender had some traits of the opposite gender. The girls were portrayed attending to masculine roles, which are, initiating a relationship while the boys also were feminine. In cases such as taking care of siblings, and applying make-up, the boys also showed feminine traits. The media portrays gender equality as both genders can attend to the roles that were stereotyped as being for the opposite gender. The society in which we live ought to understand and train children to understand that there is no role meant for a particular gender. All roles ought to be attended to by either gender. It is also important</w:t>
      </w:r>
      <w:r w:rsidR="00A726E1" w:rsidRPr="00B16CB3">
        <w:rPr>
          <w:rFonts w:cs="Arial"/>
          <w:bCs/>
        </w:rPr>
        <w:t xml:space="preserve"> to understand that despite the fact that there is gender equality shown through the media, each gender ought to maintain their boundaries as either feminine or masculine.</w:t>
      </w:r>
    </w:p>
    <w:p w14:paraId="19E8FDD0" w14:textId="77777777" w:rsidR="00B16CB3" w:rsidRDefault="00B16CB3" w:rsidP="00112C6A">
      <w:pPr>
        <w:spacing w:line="480" w:lineRule="auto"/>
        <w:rPr>
          <w:rFonts w:cs="Arial"/>
          <w:bCs/>
        </w:rPr>
      </w:pPr>
    </w:p>
    <w:p w14:paraId="1B121655" w14:textId="77777777" w:rsidR="00B16CB3" w:rsidRPr="00B16CB3" w:rsidRDefault="00B16CB3" w:rsidP="00112C6A">
      <w:pPr>
        <w:spacing w:line="480" w:lineRule="auto"/>
        <w:ind w:left="720" w:hanging="720"/>
        <w:jc w:val="both"/>
        <w:rPr>
          <w:rFonts w:eastAsia="Times New Roman" w:cs="Arial"/>
        </w:rPr>
      </w:pPr>
      <w:r w:rsidRPr="00B16CB3">
        <w:rPr>
          <w:rFonts w:eastAsia="Times New Roman" w:cs="Arial"/>
        </w:rPr>
        <w:t>Bibliography</w:t>
      </w:r>
    </w:p>
    <w:p w14:paraId="1FEF8237" w14:textId="77777777" w:rsidR="00B16CB3" w:rsidRDefault="00B16CB3" w:rsidP="00112C6A">
      <w:pPr>
        <w:spacing w:line="480" w:lineRule="auto"/>
        <w:jc w:val="both"/>
        <w:rPr>
          <w:rFonts w:cs="Arial"/>
          <w:color w:val="222222"/>
          <w:shd w:val="clear" w:color="auto" w:fill="FFFFFF"/>
        </w:rPr>
      </w:pPr>
      <w:r w:rsidRPr="00B16CB3">
        <w:rPr>
          <w:rFonts w:cs="Arial"/>
          <w:color w:val="222222"/>
          <w:shd w:val="clear" w:color="auto" w:fill="FFFFFF"/>
        </w:rPr>
        <w:t xml:space="preserve">Ames, Melissa, and Sarah </w:t>
      </w:r>
      <w:proofErr w:type="spellStart"/>
      <w:r w:rsidRPr="00B16CB3">
        <w:rPr>
          <w:rFonts w:cs="Arial"/>
          <w:color w:val="222222"/>
          <w:shd w:val="clear" w:color="auto" w:fill="FFFFFF"/>
        </w:rPr>
        <w:t>Burcon</w:t>
      </w:r>
      <w:proofErr w:type="spellEnd"/>
      <w:r w:rsidRPr="00B16CB3">
        <w:rPr>
          <w:rFonts w:cs="Arial"/>
          <w:color w:val="222222"/>
          <w:shd w:val="clear" w:color="auto" w:fill="FFFFFF"/>
        </w:rPr>
        <w:t>. "Introduction: Funhouse Mirrors—Popular Culture’s Distorted View of Girl/Womanhood." In</w:t>
      </w:r>
      <w:r w:rsidRPr="00B16CB3">
        <w:rPr>
          <w:rStyle w:val="apple-converted-space"/>
          <w:rFonts w:cs="Arial"/>
          <w:color w:val="222222"/>
          <w:shd w:val="clear" w:color="auto" w:fill="FFFFFF"/>
        </w:rPr>
        <w:t> </w:t>
      </w:r>
      <w:r w:rsidRPr="00B16CB3">
        <w:rPr>
          <w:rFonts w:cs="Arial"/>
          <w:i/>
          <w:iCs/>
          <w:color w:val="222222"/>
          <w:shd w:val="clear" w:color="auto" w:fill="FFFFFF"/>
        </w:rPr>
        <w:t>How Pop Culture Shapes the Stages of a Woman’s Life</w:t>
      </w:r>
      <w:r w:rsidRPr="00B16CB3">
        <w:rPr>
          <w:rFonts w:cs="Arial"/>
          <w:color w:val="222222"/>
          <w:shd w:val="clear" w:color="auto" w:fill="FFFFFF"/>
        </w:rPr>
        <w:t>, pp. 1-10. Palgrave Macmillan UK, 2016.</w:t>
      </w:r>
    </w:p>
    <w:p w14:paraId="03E711F5" w14:textId="77777777" w:rsidR="00B16CB3" w:rsidRPr="00B16CB3" w:rsidRDefault="00B16CB3" w:rsidP="00112C6A">
      <w:pPr>
        <w:spacing w:line="480" w:lineRule="auto"/>
        <w:jc w:val="both"/>
        <w:rPr>
          <w:rFonts w:cs="Arial"/>
          <w:color w:val="222222"/>
          <w:shd w:val="clear" w:color="auto" w:fill="FFFFFF"/>
        </w:rPr>
      </w:pPr>
    </w:p>
    <w:p w14:paraId="7113FE59" w14:textId="77777777" w:rsidR="00B16CB3" w:rsidRDefault="00B16CB3" w:rsidP="00112C6A">
      <w:pPr>
        <w:spacing w:line="480" w:lineRule="auto"/>
        <w:jc w:val="both"/>
        <w:rPr>
          <w:rFonts w:cs="Arial"/>
          <w:color w:val="222222"/>
          <w:shd w:val="clear" w:color="auto" w:fill="FFFFFF"/>
        </w:rPr>
      </w:pPr>
      <w:r w:rsidRPr="00B16CB3">
        <w:rPr>
          <w:rFonts w:cs="Arial"/>
          <w:color w:val="222222"/>
          <w:shd w:val="clear" w:color="auto" w:fill="FFFFFF"/>
        </w:rPr>
        <w:t>Huang, Ying, and Dennis T. Lowry. "Toward Better Gender Equality? Portrayals of Advertising Models’ Occupational Status in Chinese Magazines."</w:t>
      </w:r>
      <w:r w:rsidRPr="00B16CB3">
        <w:rPr>
          <w:rStyle w:val="apple-converted-space"/>
          <w:rFonts w:cs="Arial"/>
          <w:color w:val="222222"/>
          <w:shd w:val="clear" w:color="auto" w:fill="FFFFFF"/>
        </w:rPr>
        <w:t> </w:t>
      </w:r>
      <w:proofErr w:type="gramStart"/>
      <w:r w:rsidRPr="00B16CB3">
        <w:rPr>
          <w:rFonts w:cs="Arial"/>
          <w:i/>
          <w:iCs/>
          <w:color w:val="222222"/>
          <w:shd w:val="clear" w:color="auto" w:fill="FFFFFF"/>
        </w:rPr>
        <w:t>Journal of International Consumer Marketing</w:t>
      </w:r>
      <w:r w:rsidRPr="00B16CB3">
        <w:rPr>
          <w:rStyle w:val="apple-converted-space"/>
          <w:rFonts w:cs="Arial"/>
          <w:color w:val="222222"/>
          <w:shd w:val="clear" w:color="auto" w:fill="FFFFFF"/>
        </w:rPr>
        <w:t> </w:t>
      </w:r>
      <w:r w:rsidRPr="00B16CB3">
        <w:rPr>
          <w:rFonts w:cs="Arial"/>
          <w:color w:val="222222"/>
          <w:shd w:val="clear" w:color="auto" w:fill="FFFFFF"/>
        </w:rPr>
        <w:t>27, no. 1 2015.</w:t>
      </w:r>
      <w:proofErr w:type="gramEnd"/>
    </w:p>
    <w:p w14:paraId="52A8A0B2" w14:textId="77777777" w:rsidR="00B16CB3" w:rsidRPr="00B16CB3" w:rsidRDefault="00B16CB3" w:rsidP="00112C6A">
      <w:pPr>
        <w:spacing w:line="480" w:lineRule="auto"/>
        <w:jc w:val="both"/>
        <w:rPr>
          <w:rFonts w:cs="Arial"/>
          <w:color w:val="222222"/>
          <w:shd w:val="clear" w:color="auto" w:fill="FFFFFF"/>
        </w:rPr>
      </w:pPr>
    </w:p>
    <w:p w14:paraId="2711811D" w14:textId="77777777" w:rsidR="00B16CB3" w:rsidRDefault="00B16CB3" w:rsidP="00112C6A">
      <w:pPr>
        <w:spacing w:line="480" w:lineRule="auto"/>
        <w:jc w:val="both"/>
        <w:rPr>
          <w:rFonts w:cs="Arial"/>
          <w:color w:val="222222"/>
          <w:shd w:val="clear" w:color="auto" w:fill="FFFFFF"/>
        </w:rPr>
      </w:pPr>
      <w:proofErr w:type="spellStart"/>
      <w:r w:rsidRPr="00B16CB3">
        <w:rPr>
          <w:rFonts w:cs="Arial"/>
          <w:color w:val="222222"/>
          <w:shd w:val="clear" w:color="auto" w:fill="FFFFFF"/>
        </w:rPr>
        <w:t>Murnen</w:t>
      </w:r>
      <w:proofErr w:type="spellEnd"/>
      <w:r w:rsidRPr="00B16CB3">
        <w:rPr>
          <w:rFonts w:cs="Arial"/>
          <w:color w:val="222222"/>
          <w:shd w:val="clear" w:color="auto" w:fill="FFFFFF"/>
        </w:rPr>
        <w:t>, Sarah K., Claire Greenfield, Abigail Younger, and Hope Boyd. "Boys Act and Girls Appear: A Content Analysis of Gender Stereotypes Associated with Characters in Children’s Popular Culture."</w:t>
      </w:r>
      <w:r w:rsidRPr="00B16CB3">
        <w:rPr>
          <w:rStyle w:val="apple-converted-space"/>
          <w:rFonts w:cs="Arial"/>
          <w:color w:val="222222"/>
          <w:shd w:val="clear" w:color="auto" w:fill="FFFFFF"/>
        </w:rPr>
        <w:t> </w:t>
      </w:r>
      <w:proofErr w:type="gramStart"/>
      <w:r w:rsidRPr="00B16CB3">
        <w:rPr>
          <w:rFonts w:cs="Arial"/>
          <w:i/>
          <w:iCs/>
          <w:color w:val="222222"/>
          <w:shd w:val="clear" w:color="auto" w:fill="FFFFFF"/>
        </w:rPr>
        <w:t>Sex Roles</w:t>
      </w:r>
      <w:r w:rsidRPr="00B16CB3">
        <w:rPr>
          <w:rStyle w:val="apple-converted-space"/>
          <w:rFonts w:cs="Arial"/>
          <w:color w:val="222222"/>
          <w:shd w:val="clear" w:color="auto" w:fill="FFFFFF"/>
        </w:rPr>
        <w:t> </w:t>
      </w:r>
      <w:r w:rsidRPr="00B16CB3">
        <w:rPr>
          <w:rFonts w:cs="Arial"/>
          <w:color w:val="222222"/>
          <w:shd w:val="clear" w:color="auto" w:fill="FFFFFF"/>
        </w:rPr>
        <w:t>74, no. 1-2 2016.</w:t>
      </w:r>
      <w:proofErr w:type="gramEnd"/>
    </w:p>
    <w:p w14:paraId="2A29AB73" w14:textId="77777777" w:rsidR="00B16CB3" w:rsidRPr="00B16CB3" w:rsidRDefault="00B16CB3" w:rsidP="00112C6A">
      <w:pPr>
        <w:spacing w:line="480" w:lineRule="auto"/>
        <w:jc w:val="both"/>
        <w:rPr>
          <w:rFonts w:cs="Arial"/>
          <w:bCs/>
          <w:color w:val="262626"/>
        </w:rPr>
      </w:pPr>
    </w:p>
    <w:p w14:paraId="6592F4D9" w14:textId="77777777" w:rsidR="00B16CB3" w:rsidRPr="00B16CB3" w:rsidRDefault="00B16CB3" w:rsidP="00112C6A">
      <w:pPr>
        <w:spacing w:line="480" w:lineRule="auto"/>
        <w:jc w:val="both"/>
        <w:rPr>
          <w:rFonts w:cs="Arial"/>
          <w:color w:val="222222"/>
          <w:shd w:val="clear" w:color="auto" w:fill="FFFFFF"/>
        </w:rPr>
      </w:pPr>
      <w:proofErr w:type="spellStart"/>
      <w:r w:rsidRPr="00B16CB3">
        <w:rPr>
          <w:rFonts w:cs="Arial"/>
          <w:color w:val="222222"/>
          <w:shd w:val="clear" w:color="auto" w:fill="FFFFFF"/>
        </w:rPr>
        <w:t>Sendén</w:t>
      </w:r>
      <w:proofErr w:type="spellEnd"/>
      <w:r w:rsidRPr="00B16CB3">
        <w:rPr>
          <w:rFonts w:cs="Arial"/>
          <w:color w:val="222222"/>
          <w:shd w:val="clear" w:color="auto" w:fill="FFFFFF"/>
        </w:rPr>
        <w:t xml:space="preserve">, Marie </w:t>
      </w:r>
      <w:proofErr w:type="spellStart"/>
      <w:r w:rsidRPr="00B16CB3">
        <w:rPr>
          <w:rFonts w:cs="Arial"/>
          <w:color w:val="222222"/>
          <w:shd w:val="clear" w:color="auto" w:fill="FFFFFF"/>
        </w:rPr>
        <w:t>Gustafsson</w:t>
      </w:r>
      <w:proofErr w:type="spellEnd"/>
      <w:r w:rsidRPr="00B16CB3">
        <w:rPr>
          <w:rFonts w:cs="Arial"/>
          <w:color w:val="222222"/>
          <w:shd w:val="clear" w:color="auto" w:fill="FFFFFF"/>
        </w:rPr>
        <w:t xml:space="preserve">, </w:t>
      </w:r>
      <w:proofErr w:type="spellStart"/>
      <w:r w:rsidRPr="00B16CB3">
        <w:rPr>
          <w:rFonts w:cs="Arial"/>
          <w:color w:val="222222"/>
          <w:shd w:val="clear" w:color="auto" w:fill="FFFFFF"/>
        </w:rPr>
        <w:t>Sverker</w:t>
      </w:r>
      <w:proofErr w:type="spellEnd"/>
      <w:r w:rsidRPr="00B16CB3">
        <w:rPr>
          <w:rFonts w:cs="Arial"/>
          <w:color w:val="222222"/>
          <w:shd w:val="clear" w:color="auto" w:fill="FFFFFF"/>
        </w:rPr>
        <w:t xml:space="preserve"> </w:t>
      </w:r>
      <w:proofErr w:type="spellStart"/>
      <w:r w:rsidRPr="00B16CB3">
        <w:rPr>
          <w:rFonts w:cs="Arial"/>
          <w:color w:val="222222"/>
          <w:shd w:val="clear" w:color="auto" w:fill="FFFFFF"/>
        </w:rPr>
        <w:t>Sikström</w:t>
      </w:r>
      <w:proofErr w:type="spellEnd"/>
      <w:r w:rsidRPr="00B16CB3">
        <w:rPr>
          <w:rFonts w:cs="Arial"/>
          <w:color w:val="222222"/>
          <w:shd w:val="clear" w:color="auto" w:fill="FFFFFF"/>
        </w:rPr>
        <w:t xml:space="preserve">, and Torun </w:t>
      </w:r>
      <w:proofErr w:type="spellStart"/>
      <w:r w:rsidRPr="00B16CB3">
        <w:rPr>
          <w:rFonts w:cs="Arial"/>
          <w:color w:val="222222"/>
          <w:shd w:val="clear" w:color="auto" w:fill="FFFFFF"/>
        </w:rPr>
        <w:t>Lindholm</w:t>
      </w:r>
      <w:proofErr w:type="spellEnd"/>
      <w:r w:rsidRPr="00B16CB3">
        <w:rPr>
          <w:rFonts w:cs="Arial"/>
          <w:color w:val="222222"/>
          <w:shd w:val="clear" w:color="auto" w:fill="FFFFFF"/>
        </w:rPr>
        <w:t>. "“She” and “He” in News Media Messages: Pronoun Use Reflects Gender Biases in Semantic Contexts."</w:t>
      </w:r>
      <w:r w:rsidRPr="00B16CB3">
        <w:rPr>
          <w:rStyle w:val="apple-converted-space"/>
          <w:rFonts w:cs="Arial"/>
          <w:color w:val="222222"/>
          <w:shd w:val="clear" w:color="auto" w:fill="FFFFFF"/>
        </w:rPr>
        <w:t> </w:t>
      </w:r>
      <w:proofErr w:type="gramStart"/>
      <w:r w:rsidRPr="00B16CB3">
        <w:rPr>
          <w:rFonts w:cs="Arial"/>
          <w:i/>
          <w:iCs/>
          <w:color w:val="222222"/>
          <w:shd w:val="clear" w:color="auto" w:fill="FFFFFF"/>
        </w:rPr>
        <w:t>Sex Roles</w:t>
      </w:r>
      <w:r w:rsidRPr="00B16CB3">
        <w:rPr>
          <w:rStyle w:val="apple-converted-space"/>
          <w:rFonts w:cs="Arial"/>
          <w:color w:val="222222"/>
          <w:shd w:val="clear" w:color="auto" w:fill="FFFFFF"/>
        </w:rPr>
        <w:t> </w:t>
      </w:r>
      <w:r w:rsidRPr="00B16CB3">
        <w:rPr>
          <w:rFonts w:cs="Arial"/>
          <w:color w:val="222222"/>
          <w:shd w:val="clear" w:color="auto" w:fill="FFFFFF"/>
        </w:rPr>
        <w:t>72, no. 1-2 2015.</w:t>
      </w:r>
      <w:proofErr w:type="gramEnd"/>
    </w:p>
    <w:p w14:paraId="1A5DC9C4" w14:textId="77777777" w:rsidR="00B16CB3" w:rsidRPr="00B16CB3" w:rsidRDefault="00B16CB3" w:rsidP="00112C6A">
      <w:pPr>
        <w:spacing w:line="480" w:lineRule="auto"/>
      </w:pPr>
    </w:p>
    <w:sectPr w:rsidR="00B16CB3" w:rsidRPr="00B16CB3" w:rsidSect="00071A8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4EA49" w14:textId="77777777" w:rsidR="00B16CB3" w:rsidRDefault="00B16CB3" w:rsidP="004A627A">
      <w:r>
        <w:separator/>
      </w:r>
    </w:p>
  </w:endnote>
  <w:endnote w:type="continuationSeparator" w:id="0">
    <w:p w14:paraId="15B11AA5" w14:textId="77777777" w:rsidR="00B16CB3" w:rsidRDefault="00B16CB3" w:rsidP="004A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D44C3" w14:textId="77777777" w:rsidR="00B16CB3" w:rsidRDefault="00B16CB3" w:rsidP="004A627A">
      <w:r>
        <w:separator/>
      </w:r>
    </w:p>
  </w:footnote>
  <w:footnote w:type="continuationSeparator" w:id="0">
    <w:p w14:paraId="34572AD4" w14:textId="77777777" w:rsidR="00B16CB3" w:rsidRDefault="00B16CB3" w:rsidP="004A6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7A"/>
    <w:rsid w:val="00071A83"/>
    <w:rsid w:val="00112C6A"/>
    <w:rsid w:val="003C6139"/>
    <w:rsid w:val="003F4854"/>
    <w:rsid w:val="004A627A"/>
    <w:rsid w:val="005642CF"/>
    <w:rsid w:val="008849DD"/>
    <w:rsid w:val="00A726E1"/>
    <w:rsid w:val="00B16CB3"/>
    <w:rsid w:val="00C850D0"/>
    <w:rsid w:val="00E20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2EDF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627A"/>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4A627A"/>
    <w:rPr>
      <w:rFonts w:eastAsiaTheme="minorHAnsi"/>
      <w:sz w:val="20"/>
      <w:szCs w:val="20"/>
      <w:lang w:eastAsia="en-US"/>
    </w:rPr>
  </w:style>
  <w:style w:type="character" w:styleId="FootnoteReference">
    <w:name w:val="footnote reference"/>
    <w:basedOn w:val="DefaultParagraphFont"/>
    <w:uiPriority w:val="99"/>
    <w:semiHidden/>
    <w:unhideWhenUsed/>
    <w:rsid w:val="004A627A"/>
    <w:rPr>
      <w:vertAlign w:val="superscript"/>
    </w:rPr>
  </w:style>
  <w:style w:type="character" w:customStyle="1" w:styleId="apple-converted-space">
    <w:name w:val="apple-converted-space"/>
    <w:basedOn w:val="DefaultParagraphFont"/>
    <w:rsid w:val="004A62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627A"/>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4A627A"/>
    <w:rPr>
      <w:rFonts w:eastAsiaTheme="minorHAnsi"/>
      <w:sz w:val="20"/>
      <w:szCs w:val="20"/>
      <w:lang w:eastAsia="en-US"/>
    </w:rPr>
  </w:style>
  <w:style w:type="character" w:styleId="FootnoteReference">
    <w:name w:val="footnote reference"/>
    <w:basedOn w:val="DefaultParagraphFont"/>
    <w:uiPriority w:val="99"/>
    <w:semiHidden/>
    <w:unhideWhenUsed/>
    <w:rsid w:val="004A627A"/>
    <w:rPr>
      <w:vertAlign w:val="superscript"/>
    </w:rPr>
  </w:style>
  <w:style w:type="character" w:customStyle="1" w:styleId="apple-converted-space">
    <w:name w:val="apple-converted-space"/>
    <w:basedOn w:val="DefaultParagraphFont"/>
    <w:rsid w:val="004A6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1309</Words>
  <Characters>7463</Characters>
  <Application>Microsoft Macintosh Word</Application>
  <DocSecurity>0</DocSecurity>
  <Lines>62</Lines>
  <Paragraphs>17</Paragraphs>
  <ScaleCrop>false</ScaleCrop>
  <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jiajie yang</dc:creator>
  <cp:keywords/>
  <dc:description/>
  <cp:lastModifiedBy>jiajie yang</cp:lastModifiedBy>
  <cp:revision>8</cp:revision>
  <dcterms:created xsi:type="dcterms:W3CDTF">2016-04-29T08:26:00Z</dcterms:created>
  <dcterms:modified xsi:type="dcterms:W3CDTF">2016-04-30T03:56:00Z</dcterms:modified>
</cp:coreProperties>
</file>