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BDC" w:rsidRPr="00EC1BDC" w:rsidRDefault="00EC1BDC" w:rsidP="00EC1BDC">
      <w:pPr>
        <w:spacing w:after="24" w:line="240" w:lineRule="auto"/>
        <w:jc w:val="both"/>
        <w:rPr>
          <w:rFonts w:ascii="Times New Roman" w:eastAsia="Times New Roman" w:hAnsi="Times New Roman" w:cs="Times New Roman"/>
          <w:lang w:val="en"/>
        </w:rPr>
      </w:pPr>
      <w:bookmarkStart w:id="0" w:name="_GoBack"/>
      <w:bookmarkEnd w:id="0"/>
      <w:r w:rsidRPr="00EC1BDC">
        <w:rPr>
          <w:rFonts w:ascii="Times New Roman" w:eastAsia="Times New Roman" w:hAnsi="Times New Roman" w:cs="Times New Roman"/>
          <w:b/>
          <w:bCs/>
          <w:color w:val="ED1C24"/>
          <w:lang w:val="en"/>
        </w:rPr>
        <w:t>E 12–1</w:t>
      </w:r>
      <w:r w:rsidRPr="00EC1BDC">
        <w:rPr>
          <w:rFonts w:ascii="Times New Roman" w:eastAsia="Times New Roman" w:hAnsi="Times New Roman" w:cs="Times New Roman"/>
          <w:lang w:val="en"/>
        </w:rPr>
        <w:br/>
        <w:t>Securities held-to-maturity; bond investment; effective interest</w:t>
      </w:r>
    </w:p>
    <w:p w:rsidR="00EC1BDC" w:rsidRPr="00EC1BDC" w:rsidRDefault="00EC1BDC" w:rsidP="00EC1BDC">
      <w:pPr>
        <w:spacing w:before="48" w:after="180" w:line="240" w:lineRule="auto"/>
        <w:ind w:hanging="225"/>
        <w:rPr>
          <w:rFonts w:ascii="Times New Roman" w:eastAsia="Times New Roman" w:hAnsi="Times New Roman" w:cs="Times New Roman"/>
          <w:sz w:val="19"/>
          <w:szCs w:val="19"/>
          <w:lang w:val="en"/>
        </w:rPr>
      </w:pPr>
      <w:r w:rsidRPr="00EC1BDC">
        <w:rPr>
          <w:rFonts w:ascii="Times New Roman" w:eastAsia="Times New Roman" w:hAnsi="Times New Roman" w:cs="Times New Roman"/>
          <w:noProof/>
          <w:sz w:val="19"/>
          <w:szCs w:val="19"/>
        </w:rPr>
        <w:drawing>
          <wp:inline distT="0" distB="0" distL="0" distR="0" wp14:anchorId="6F9A180A" wp14:editId="05993CEF">
            <wp:extent cx="85725" cy="85725"/>
            <wp:effectExtent l="0" t="0" r="9525" b="9525"/>
            <wp:docPr id="3" name="Picture 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C1BDC">
        <w:rPr>
          <w:rFonts w:ascii="Times New Roman" w:eastAsia="Times New Roman" w:hAnsi="Times New Roman" w:cs="Times New Roman"/>
          <w:b/>
          <w:bCs/>
          <w:sz w:val="19"/>
          <w:szCs w:val="19"/>
          <w:lang w:val="en"/>
        </w:rPr>
        <w:t>LO12–1</w:t>
      </w:r>
    </w:p>
    <w:p w:rsidR="00EC1BDC" w:rsidRPr="00EC1BDC" w:rsidRDefault="00EC1BDC" w:rsidP="00EC1BDC">
      <w:pPr>
        <w:spacing w:before="24" w:after="24" w:line="240" w:lineRule="auto"/>
        <w:jc w:val="both"/>
        <w:rPr>
          <w:rFonts w:ascii="Times New Roman" w:eastAsia="Times New Roman" w:hAnsi="Times New Roman" w:cs="Times New Roman"/>
          <w:lang w:val="en"/>
        </w:rPr>
      </w:pPr>
      <w:r w:rsidRPr="00EC1BDC">
        <w:rPr>
          <w:rFonts w:ascii="Times New Roman" w:eastAsia="Times New Roman" w:hAnsi="Times New Roman" w:cs="Times New Roman"/>
          <w:lang w:val="en"/>
        </w:rPr>
        <w:t>Tanner-UNF Corporation acquired as a long-term investment $240 million of 6% bonds, dated July 1, on July 1, 2016. Company management has the positive intent and ability to hold the bonds until maturity. The market interest rate (yield) was 8% for bonds of similar risk and maturity. Tanner-UNF paid $200 million for the bonds. The company will receive interest semiannually on June 30 and December 31. As a result of changing market conditions, the fair value of the bonds at December 31, 2016 was $210 million.</w:t>
      </w:r>
    </w:p>
    <w:p w:rsidR="00EC1BDC" w:rsidRPr="00EC1BDC" w:rsidRDefault="00EC1BDC" w:rsidP="00EC1BDC">
      <w:pPr>
        <w:spacing w:before="96" w:after="48" w:line="240" w:lineRule="auto"/>
        <w:jc w:val="both"/>
        <w:rPr>
          <w:rFonts w:ascii="Times New Roman" w:eastAsia="Times New Roman" w:hAnsi="Times New Roman" w:cs="Times New Roman"/>
          <w:b/>
          <w:bCs/>
          <w:color w:val="F58345"/>
          <w:lang w:val="en"/>
        </w:rPr>
      </w:pPr>
      <w:r w:rsidRPr="00EC1BDC">
        <w:rPr>
          <w:rFonts w:ascii="Times New Roman" w:eastAsia="Times New Roman" w:hAnsi="Times New Roman" w:cs="Times New Roman"/>
          <w:b/>
          <w:bCs/>
          <w:color w:val="F58345"/>
          <w:lang w:val="en"/>
        </w:rPr>
        <w:t>Required:</w:t>
      </w:r>
    </w:p>
    <w:p w:rsidR="00EC1BDC" w:rsidRPr="00EC1BDC" w:rsidRDefault="00EC1BDC" w:rsidP="00EC1BDC">
      <w:pPr>
        <w:spacing w:before="60" w:after="60" w:line="240" w:lineRule="auto"/>
        <w:ind w:left="360" w:hanging="225"/>
        <w:rPr>
          <w:rFonts w:ascii="Times New Roman" w:eastAsia="Times New Roman" w:hAnsi="Times New Roman" w:cs="Times New Roman"/>
          <w:lang w:val="en"/>
        </w:rPr>
      </w:pPr>
      <w:r w:rsidRPr="00EC1BDC">
        <w:rPr>
          <w:rFonts w:ascii="Times New Roman" w:eastAsia="Times New Roman" w:hAnsi="Times New Roman" w:cs="Times New Roman"/>
          <w:lang w:val="en"/>
        </w:rPr>
        <w:t>1. Prepare the journal entry to record Tanner-UNF’s investment in the bonds on July 1, 2016.</w:t>
      </w:r>
    </w:p>
    <w:p w:rsidR="00EC1BDC" w:rsidRPr="00EC1BDC" w:rsidRDefault="00EC1BDC" w:rsidP="00EC1BDC">
      <w:pPr>
        <w:spacing w:before="60" w:after="60" w:line="240" w:lineRule="auto"/>
        <w:ind w:left="360" w:hanging="225"/>
        <w:rPr>
          <w:rFonts w:ascii="Times New Roman" w:eastAsia="Times New Roman" w:hAnsi="Times New Roman" w:cs="Times New Roman"/>
          <w:lang w:val="en"/>
        </w:rPr>
      </w:pPr>
      <w:r w:rsidRPr="00EC1BDC">
        <w:rPr>
          <w:rFonts w:ascii="Times New Roman" w:eastAsia="Times New Roman" w:hAnsi="Times New Roman" w:cs="Times New Roman"/>
          <w:lang w:val="en"/>
        </w:rPr>
        <w:t>2. Prepare the journal entry by Tanner-UNF to record interest on December 31, 2016, at the effective (market) rate.</w:t>
      </w:r>
    </w:p>
    <w:p w:rsidR="00EC1BDC" w:rsidRPr="00EC1BDC" w:rsidRDefault="00EC1BDC" w:rsidP="00EC1BDC">
      <w:pPr>
        <w:spacing w:before="60" w:after="60" w:line="240" w:lineRule="auto"/>
        <w:ind w:left="360" w:hanging="225"/>
        <w:rPr>
          <w:rFonts w:ascii="Times New Roman" w:eastAsia="Times New Roman" w:hAnsi="Times New Roman" w:cs="Times New Roman"/>
          <w:lang w:val="en"/>
        </w:rPr>
      </w:pPr>
      <w:r w:rsidRPr="00EC1BDC">
        <w:rPr>
          <w:rFonts w:ascii="Times New Roman" w:eastAsia="Times New Roman" w:hAnsi="Times New Roman" w:cs="Times New Roman"/>
          <w:lang w:val="en"/>
        </w:rPr>
        <w:t>3. At what amount will Tanner-UNF report its investment in the December 31, 2016, balance sheet? Why?</w:t>
      </w:r>
    </w:p>
    <w:p w:rsidR="00EC1BDC" w:rsidRPr="00EC1BDC" w:rsidRDefault="00EC1BDC" w:rsidP="00EC1BDC">
      <w:pPr>
        <w:spacing w:before="60" w:after="60" w:line="240" w:lineRule="auto"/>
        <w:ind w:left="360" w:hanging="225"/>
        <w:rPr>
          <w:rFonts w:ascii="Times New Roman" w:eastAsia="Times New Roman" w:hAnsi="Times New Roman" w:cs="Times New Roman"/>
          <w:lang w:val="en"/>
        </w:rPr>
      </w:pPr>
      <w:r w:rsidRPr="00EC1BDC">
        <w:rPr>
          <w:rFonts w:ascii="Times New Roman" w:eastAsia="Times New Roman" w:hAnsi="Times New Roman" w:cs="Times New Roman"/>
          <w:lang w:val="en"/>
        </w:rPr>
        <w:t>4. Suppose Moody’s bond rating agency downgraded the risk rating of the bonds motivating Tanner-UNF to sell the investment on January 2, 2017, for $190 million. Prepare the journal entry to record the sale.</w:t>
      </w:r>
    </w:p>
    <w:p w:rsidR="00EC1BDC" w:rsidRDefault="00EC1BDC" w:rsidP="00EC1BDC">
      <w:pPr>
        <w:spacing w:after="24" w:line="240" w:lineRule="auto"/>
        <w:jc w:val="both"/>
        <w:rPr>
          <w:rFonts w:ascii="Times New Roman" w:eastAsia="Times New Roman" w:hAnsi="Times New Roman" w:cs="Times New Roman"/>
          <w:b/>
          <w:bCs/>
          <w:color w:val="ED1C24"/>
          <w:lang w:val="en"/>
        </w:rPr>
      </w:pPr>
    </w:p>
    <w:p w:rsidR="00EC1BDC" w:rsidRDefault="00EC1BDC" w:rsidP="00EC1BDC">
      <w:pPr>
        <w:spacing w:after="24" w:line="240" w:lineRule="auto"/>
        <w:jc w:val="both"/>
        <w:rPr>
          <w:rFonts w:ascii="Times New Roman" w:eastAsia="Times New Roman" w:hAnsi="Times New Roman" w:cs="Times New Roman"/>
          <w:b/>
          <w:bCs/>
          <w:color w:val="ED1C24"/>
          <w:lang w:val="en"/>
        </w:rPr>
      </w:pPr>
    </w:p>
    <w:p w:rsidR="00EC1BDC" w:rsidRDefault="00EC1BDC" w:rsidP="00EC1BDC">
      <w:pPr>
        <w:spacing w:after="24" w:line="240" w:lineRule="auto"/>
        <w:jc w:val="both"/>
        <w:rPr>
          <w:rFonts w:ascii="Times New Roman" w:eastAsia="Times New Roman" w:hAnsi="Times New Roman" w:cs="Times New Roman"/>
          <w:b/>
          <w:bCs/>
          <w:color w:val="ED1C24"/>
          <w:lang w:val="en"/>
        </w:rPr>
      </w:pPr>
    </w:p>
    <w:p w:rsidR="00EC1BDC" w:rsidRPr="00EC1BDC" w:rsidRDefault="00EC1BDC" w:rsidP="00EC1BDC">
      <w:pPr>
        <w:spacing w:after="24" w:line="240" w:lineRule="auto"/>
        <w:jc w:val="both"/>
        <w:rPr>
          <w:rFonts w:ascii="Times New Roman" w:eastAsia="Times New Roman" w:hAnsi="Times New Roman" w:cs="Times New Roman"/>
          <w:lang w:val="en"/>
        </w:rPr>
      </w:pPr>
      <w:r w:rsidRPr="00EC1BDC">
        <w:rPr>
          <w:rFonts w:ascii="Times New Roman" w:eastAsia="Times New Roman" w:hAnsi="Times New Roman" w:cs="Times New Roman"/>
          <w:b/>
          <w:bCs/>
          <w:color w:val="ED1C24"/>
          <w:lang w:val="en"/>
        </w:rPr>
        <w:t>E 12–5</w:t>
      </w:r>
      <w:r w:rsidRPr="00EC1BDC">
        <w:rPr>
          <w:rFonts w:ascii="Times New Roman" w:eastAsia="Times New Roman" w:hAnsi="Times New Roman" w:cs="Times New Roman"/>
          <w:lang w:val="en"/>
        </w:rPr>
        <w:br/>
        <w:t xml:space="preserve">Various </w:t>
      </w:r>
      <w:proofErr w:type="spellStart"/>
      <w:r w:rsidRPr="00EC1BDC">
        <w:rPr>
          <w:rFonts w:ascii="Times New Roman" w:eastAsia="Times New Roman" w:hAnsi="Times New Roman" w:cs="Times New Roman"/>
          <w:lang w:val="en"/>
        </w:rPr>
        <w:t>transactons</w:t>
      </w:r>
      <w:proofErr w:type="spellEnd"/>
      <w:r w:rsidRPr="00EC1BDC">
        <w:rPr>
          <w:rFonts w:ascii="Times New Roman" w:eastAsia="Times New Roman" w:hAnsi="Times New Roman" w:cs="Times New Roman"/>
          <w:lang w:val="en"/>
        </w:rPr>
        <w:t xml:space="preserve"> relating to trading securities</w:t>
      </w:r>
    </w:p>
    <w:p w:rsidR="00EC1BDC" w:rsidRPr="00EC1BDC" w:rsidRDefault="00EC1BDC" w:rsidP="00EC1BDC">
      <w:pPr>
        <w:spacing w:before="48" w:after="180" w:line="240" w:lineRule="auto"/>
        <w:ind w:hanging="225"/>
        <w:rPr>
          <w:rFonts w:ascii="Times New Roman" w:eastAsia="Times New Roman" w:hAnsi="Times New Roman" w:cs="Times New Roman"/>
          <w:sz w:val="19"/>
          <w:szCs w:val="19"/>
          <w:lang w:val="en"/>
        </w:rPr>
      </w:pPr>
      <w:r w:rsidRPr="00EC1BDC">
        <w:rPr>
          <w:rFonts w:ascii="Times New Roman" w:eastAsia="Times New Roman" w:hAnsi="Times New Roman" w:cs="Times New Roman"/>
          <w:noProof/>
          <w:sz w:val="19"/>
          <w:szCs w:val="19"/>
        </w:rPr>
        <w:drawing>
          <wp:inline distT="0" distB="0" distL="0" distR="0" wp14:anchorId="7009186C" wp14:editId="27FAEAA9">
            <wp:extent cx="85725" cy="85725"/>
            <wp:effectExtent l="0" t="0" r="9525" b="9525"/>
            <wp:docPr id="2" name="Picture 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C1BDC">
        <w:rPr>
          <w:rFonts w:ascii="Times New Roman" w:eastAsia="Times New Roman" w:hAnsi="Times New Roman" w:cs="Times New Roman"/>
          <w:b/>
          <w:bCs/>
          <w:sz w:val="19"/>
          <w:szCs w:val="19"/>
          <w:lang w:val="en"/>
        </w:rPr>
        <w:t>LO12–2</w:t>
      </w:r>
    </w:p>
    <w:p w:rsidR="00EC1BDC" w:rsidRPr="00EC1BDC" w:rsidRDefault="00EC1BDC" w:rsidP="00EC1BDC">
      <w:pPr>
        <w:spacing w:before="24" w:after="24" w:line="240" w:lineRule="auto"/>
        <w:jc w:val="both"/>
        <w:rPr>
          <w:rFonts w:ascii="Times New Roman" w:eastAsia="Times New Roman" w:hAnsi="Times New Roman" w:cs="Times New Roman"/>
          <w:lang w:val="en"/>
        </w:rPr>
      </w:pPr>
      <w:proofErr w:type="spellStart"/>
      <w:r w:rsidRPr="00EC1BDC">
        <w:rPr>
          <w:rFonts w:ascii="Times New Roman" w:eastAsia="Times New Roman" w:hAnsi="Times New Roman" w:cs="Times New Roman"/>
          <w:lang w:val="en"/>
        </w:rPr>
        <w:t>Rantzow</w:t>
      </w:r>
      <w:proofErr w:type="spellEnd"/>
      <w:r w:rsidRPr="00EC1BDC">
        <w:rPr>
          <w:rFonts w:ascii="Times New Roman" w:eastAsia="Times New Roman" w:hAnsi="Times New Roman" w:cs="Times New Roman"/>
          <w:lang w:val="en"/>
        </w:rPr>
        <w:t xml:space="preserve">-Lear Company buys and sells securities expecting to earn profits on short-term differences in price. The company’s fiscal year ends on December 31. The following selected transactions relating to </w:t>
      </w:r>
      <w:proofErr w:type="spellStart"/>
      <w:r w:rsidRPr="00EC1BDC">
        <w:rPr>
          <w:rFonts w:ascii="Times New Roman" w:eastAsia="Times New Roman" w:hAnsi="Times New Roman" w:cs="Times New Roman"/>
          <w:lang w:val="en"/>
        </w:rPr>
        <w:t>Rantzow</w:t>
      </w:r>
      <w:proofErr w:type="spellEnd"/>
      <w:r w:rsidRPr="00EC1BDC">
        <w:rPr>
          <w:rFonts w:ascii="Times New Roman" w:eastAsia="Times New Roman" w:hAnsi="Times New Roman" w:cs="Times New Roman"/>
          <w:lang w:val="en"/>
        </w:rPr>
        <w:t>-Lear’s trading account occurred during December 2016 and the first week of 2017.</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9"/>
        <w:gridCol w:w="8631"/>
      </w:tblGrid>
      <w:tr w:rsidR="00EC1BDC" w:rsidRPr="00EC1BDC" w:rsidTr="00EC1BDC">
        <w:trPr>
          <w:tblCellSpacing w:w="15" w:type="dxa"/>
        </w:trPr>
        <w:tc>
          <w:tcPr>
            <w:tcW w:w="0" w:type="auto"/>
            <w:hideMark/>
          </w:tcPr>
          <w:p w:rsidR="00EC1BDC" w:rsidRPr="00EC1BDC" w:rsidRDefault="00EC1BDC" w:rsidP="00EC1BDC">
            <w:pPr>
              <w:spacing w:before="240" w:after="240" w:line="240" w:lineRule="auto"/>
              <w:rPr>
                <w:rFonts w:ascii="Times New Roman" w:eastAsia="Times New Roman" w:hAnsi="Times New Roman" w:cs="Times New Roman"/>
                <w:sz w:val="24"/>
                <w:szCs w:val="24"/>
              </w:rPr>
            </w:pPr>
            <w:r w:rsidRPr="00EC1BDC">
              <w:rPr>
                <w:rFonts w:ascii="Times New Roman" w:eastAsia="Times New Roman" w:hAnsi="Times New Roman" w:cs="Times New Roman"/>
                <w:b/>
                <w:bCs/>
                <w:sz w:val="24"/>
                <w:szCs w:val="24"/>
              </w:rPr>
              <w:t>2016</w:t>
            </w:r>
          </w:p>
        </w:tc>
        <w:tc>
          <w:tcPr>
            <w:tcW w:w="0" w:type="auto"/>
            <w:hideMark/>
          </w:tcPr>
          <w:p w:rsidR="00EC1BDC" w:rsidRPr="00EC1BDC" w:rsidRDefault="00EC1BDC" w:rsidP="00EC1BDC">
            <w:pPr>
              <w:spacing w:before="240" w:after="240" w:line="240" w:lineRule="auto"/>
              <w:rPr>
                <w:rFonts w:ascii="Times New Roman" w:eastAsia="Times New Roman" w:hAnsi="Times New Roman" w:cs="Times New Roman"/>
                <w:sz w:val="24"/>
                <w:szCs w:val="24"/>
              </w:rPr>
            </w:pPr>
          </w:p>
        </w:tc>
      </w:tr>
      <w:tr w:rsidR="00EC1BDC" w:rsidRPr="00EC1BDC" w:rsidTr="00EC1BDC">
        <w:trPr>
          <w:tblCellSpacing w:w="15" w:type="dxa"/>
        </w:trPr>
        <w:tc>
          <w:tcPr>
            <w:tcW w:w="0" w:type="auto"/>
            <w:hideMark/>
          </w:tcPr>
          <w:p w:rsidR="00EC1BDC" w:rsidRPr="00EC1BDC" w:rsidRDefault="00EC1BDC" w:rsidP="00EC1BDC">
            <w:pPr>
              <w:spacing w:before="240" w:after="240" w:line="240" w:lineRule="auto"/>
              <w:rPr>
                <w:rFonts w:ascii="Times New Roman" w:eastAsia="Times New Roman" w:hAnsi="Times New Roman" w:cs="Times New Roman"/>
                <w:sz w:val="24"/>
                <w:szCs w:val="24"/>
              </w:rPr>
            </w:pPr>
            <w:r w:rsidRPr="00EC1BDC">
              <w:rPr>
                <w:rFonts w:ascii="Times New Roman" w:eastAsia="Times New Roman" w:hAnsi="Times New Roman" w:cs="Times New Roman"/>
                <w:sz w:val="24"/>
                <w:szCs w:val="24"/>
              </w:rPr>
              <w:t>Dec. 17</w:t>
            </w:r>
          </w:p>
        </w:tc>
        <w:tc>
          <w:tcPr>
            <w:tcW w:w="0" w:type="auto"/>
            <w:hideMark/>
          </w:tcPr>
          <w:p w:rsidR="00EC1BDC" w:rsidRPr="00EC1BDC" w:rsidRDefault="00EC1BDC" w:rsidP="00EC1BDC">
            <w:pPr>
              <w:spacing w:before="240" w:after="240" w:line="240" w:lineRule="auto"/>
              <w:rPr>
                <w:rFonts w:ascii="Times New Roman" w:eastAsia="Times New Roman" w:hAnsi="Times New Roman" w:cs="Times New Roman"/>
                <w:sz w:val="24"/>
                <w:szCs w:val="24"/>
              </w:rPr>
            </w:pPr>
            <w:r w:rsidRPr="00EC1BDC">
              <w:rPr>
                <w:rFonts w:ascii="Times New Roman" w:eastAsia="Times New Roman" w:hAnsi="Times New Roman" w:cs="Times New Roman"/>
                <w:sz w:val="24"/>
                <w:szCs w:val="24"/>
              </w:rPr>
              <w:t>Purchased 100,000 Grocers’ Supply Corporation preferred shares for $350,000.</w:t>
            </w:r>
          </w:p>
        </w:tc>
      </w:tr>
      <w:tr w:rsidR="00EC1BDC" w:rsidRPr="00EC1BDC" w:rsidTr="00EC1BDC">
        <w:trPr>
          <w:tblCellSpacing w:w="15" w:type="dxa"/>
        </w:trPr>
        <w:tc>
          <w:tcPr>
            <w:tcW w:w="0" w:type="auto"/>
            <w:hideMark/>
          </w:tcPr>
          <w:p w:rsidR="00EC1BDC" w:rsidRPr="00EC1BDC" w:rsidRDefault="00EC1BDC" w:rsidP="00EC1BDC">
            <w:pPr>
              <w:spacing w:before="240" w:after="240" w:line="240" w:lineRule="auto"/>
              <w:rPr>
                <w:rFonts w:ascii="Times New Roman" w:eastAsia="Times New Roman" w:hAnsi="Times New Roman" w:cs="Times New Roman"/>
                <w:sz w:val="24"/>
                <w:szCs w:val="24"/>
              </w:rPr>
            </w:pPr>
            <w:r w:rsidRPr="00EC1BDC">
              <w:rPr>
                <w:rFonts w:ascii="Times New Roman" w:eastAsia="Times New Roman" w:hAnsi="Times New Roman" w:cs="Times New Roman"/>
                <w:sz w:val="24"/>
                <w:szCs w:val="24"/>
              </w:rPr>
              <w:t>        28</w:t>
            </w:r>
          </w:p>
        </w:tc>
        <w:tc>
          <w:tcPr>
            <w:tcW w:w="0" w:type="auto"/>
            <w:hideMark/>
          </w:tcPr>
          <w:p w:rsidR="00EC1BDC" w:rsidRPr="00EC1BDC" w:rsidRDefault="00EC1BDC" w:rsidP="00EC1BDC">
            <w:pPr>
              <w:spacing w:before="240" w:after="240" w:line="240" w:lineRule="auto"/>
              <w:rPr>
                <w:rFonts w:ascii="Times New Roman" w:eastAsia="Times New Roman" w:hAnsi="Times New Roman" w:cs="Times New Roman"/>
                <w:sz w:val="24"/>
                <w:szCs w:val="24"/>
              </w:rPr>
            </w:pPr>
            <w:r w:rsidRPr="00EC1BDC">
              <w:rPr>
                <w:rFonts w:ascii="Times New Roman" w:eastAsia="Times New Roman" w:hAnsi="Times New Roman" w:cs="Times New Roman"/>
                <w:sz w:val="24"/>
                <w:szCs w:val="24"/>
              </w:rPr>
              <w:t>Received cash dividends of $2,000 from the Grocers’ Supply Corporation preferred shares.</w:t>
            </w:r>
          </w:p>
        </w:tc>
      </w:tr>
      <w:tr w:rsidR="00EC1BDC" w:rsidRPr="00EC1BDC" w:rsidTr="00EC1BDC">
        <w:trPr>
          <w:tblCellSpacing w:w="15" w:type="dxa"/>
        </w:trPr>
        <w:tc>
          <w:tcPr>
            <w:tcW w:w="0" w:type="auto"/>
            <w:hideMark/>
          </w:tcPr>
          <w:p w:rsidR="00EC1BDC" w:rsidRPr="00EC1BDC" w:rsidRDefault="00EC1BDC" w:rsidP="00EC1BDC">
            <w:pPr>
              <w:spacing w:before="240" w:after="240" w:line="240" w:lineRule="auto"/>
              <w:rPr>
                <w:rFonts w:ascii="Times New Roman" w:eastAsia="Times New Roman" w:hAnsi="Times New Roman" w:cs="Times New Roman"/>
                <w:sz w:val="24"/>
                <w:szCs w:val="24"/>
              </w:rPr>
            </w:pPr>
            <w:r w:rsidRPr="00EC1BDC">
              <w:rPr>
                <w:rFonts w:ascii="Times New Roman" w:eastAsia="Times New Roman" w:hAnsi="Times New Roman" w:cs="Times New Roman"/>
                <w:sz w:val="24"/>
                <w:szCs w:val="24"/>
              </w:rPr>
              <w:t>        31</w:t>
            </w:r>
          </w:p>
        </w:tc>
        <w:tc>
          <w:tcPr>
            <w:tcW w:w="0" w:type="auto"/>
            <w:hideMark/>
          </w:tcPr>
          <w:p w:rsidR="00EC1BDC" w:rsidRPr="00EC1BDC" w:rsidRDefault="00EC1BDC" w:rsidP="00EC1BDC">
            <w:pPr>
              <w:spacing w:before="240" w:after="240" w:line="240" w:lineRule="auto"/>
              <w:rPr>
                <w:rFonts w:ascii="Times New Roman" w:eastAsia="Times New Roman" w:hAnsi="Times New Roman" w:cs="Times New Roman"/>
                <w:sz w:val="24"/>
                <w:szCs w:val="24"/>
              </w:rPr>
            </w:pPr>
            <w:r w:rsidRPr="00EC1BDC">
              <w:rPr>
                <w:rFonts w:ascii="Times New Roman" w:eastAsia="Times New Roman" w:hAnsi="Times New Roman" w:cs="Times New Roman"/>
                <w:sz w:val="24"/>
                <w:szCs w:val="24"/>
              </w:rPr>
              <w:t>Recorded any necessary adjusting entry relating to the Grocers’ Supply Corporation preferred shares. The market price of the stock was $4 per share.</w:t>
            </w:r>
          </w:p>
        </w:tc>
      </w:tr>
      <w:tr w:rsidR="00EC1BDC" w:rsidRPr="00EC1BDC" w:rsidTr="00EC1BDC">
        <w:trPr>
          <w:tblCellSpacing w:w="15" w:type="dxa"/>
        </w:trPr>
        <w:tc>
          <w:tcPr>
            <w:tcW w:w="0" w:type="auto"/>
            <w:hideMark/>
          </w:tcPr>
          <w:p w:rsidR="00EC1BDC" w:rsidRPr="00EC1BDC" w:rsidRDefault="00EC1BDC" w:rsidP="00EC1BDC">
            <w:pPr>
              <w:spacing w:before="240" w:after="240" w:line="240" w:lineRule="auto"/>
              <w:rPr>
                <w:rFonts w:ascii="Times New Roman" w:eastAsia="Times New Roman" w:hAnsi="Times New Roman" w:cs="Times New Roman"/>
                <w:sz w:val="24"/>
                <w:szCs w:val="24"/>
              </w:rPr>
            </w:pPr>
            <w:r w:rsidRPr="00EC1BDC">
              <w:rPr>
                <w:rFonts w:ascii="Times New Roman" w:eastAsia="Times New Roman" w:hAnsi="Times New Roman" w:cs="Times New Roman"/>
                <w:b/>
                <w:bCs/>
                <w:sz w:val="24"/>
                <w:szCs w:val="24"/>
              </w:rPr>
              <w:t>2017</w:t>
            </w:r>
          </w:p>
        </w:tc>
        <w:tc>
          <w:tcPr>
            <w:tcW w:w="0" w:type="auto"/>
            <w:hideMark/>
          </w:tcPr>
          <w:p w:rsidR="00EC1BDC" w:rsidRPr="00EC1BDC" w:rsidRDefault="00EC1BDC" w:rsidP="00EC1BDC">
            <w:pPr>
              <w:spacing w:before="240" w:after="240" w:line="240" w:lineRule="auto"/>
              <w:rPr>
                <w:rFonts w:ascii="Times New Roman" w:eastAsia="Times New Roman" w:hAnsi="Times New Roman" w:cs="Times New Roman"/>
                <w:sz w:val="24"/>
                <w:szCs w:val="24"/>
              </w:rPr>
            </w:pPr>
          </w:p>
        </w:tc>
      </w:tr>
      <w:tr w:rsidR="00EC1BDC" w:rsidRPr="00EC1BDC" w:rsidTr="00EC1BDC">
        <w:trPr>
          <w:tblCellSpacing w:w="15" w:type="dxa"/>
        </w:trPr>
        <w:tc>
          <w:tcPr>
            <w:tcW w:w="0" w:type="auto"/>
            <w:hideMark/>
          </w:tcPr>
          <w:p w:rsidR="00EC1BDC" w:rsidRPr="00EC1BDC" w:rsidRDefault="00EC1BDC" w:rsidP="00EC1BDC">
            <w:pPr>
              <w:spacing w:before="240" w:after="240" w:line="240" w:lineRule="auto"/>
              <w:rPr>
                <w:rFonts w:ascii="Times New Roman" w:eastAsia="Times New Roman" w:hAnsi="Times New Roman" w:cs="Times New Roman"/>
                <w:sz w:val="24"/>
                <w:szCs w:val="24"/>
              </w:rPr>
            </w:pPr>
            <w:r w:rsidRPr="00EC1BDC">
              <w:rPr>
                <w:rFonts w:ascii="Times New Roman" w:eastAsia="Times New Roman" w:hAnsi="Times New Roman" w:cs="Times New Roman"/>
                <w:sz w:val="24"/>
                <w:szCs w:val="24"/>
              </w:rPr>
              <w:lastRenderedPageBreak/>
              <w:t>Jan.    5</w:t>
            </w:r>
          </w:p>
        </w:tc>
        <w:tc>
          <w:tcPr>
            <w:tcW w:w="0" w:type="auto"/>
            <w:hideMark/>
          </w:tcPr>
          <w:p w:rsidR="00EC1BDC" w:rsidRPr="00EC1BDC" w:rsidRDefault="00EC1BDC" w:rsidP="00EC1BDC">
            <w:pPr>
              <w:spacing w:before="240" w:after="240" w:line="240" w:lineRule="auto"/>
              <w:rPr>
                <w:rFonts w:ascii="Times New Roman" w:eastAsia="Times New Roman" w:hAnsi="Times New Roman" w:cs="Times New Roman"/>
                <w:sz w:val="24"/>
                <w:szCs w:val="24"/>
              </w:rPr>
            </w:pPr>
            <w:r w:rsidRPr="00EC1BDC">
              <w:rPr>
                <w:rFonts w:ascii="Times New Roman" w:eastAsia="Times New Roman" w:hAnsi="Times New Roman" w:cs="Times New Roman"/>
                <w:sz w:val="24"/>
                <w:szCs w:val="24"/>
              </w:rPr>
              <w:t>Sold the Grocers’ Supply Corporation preferred shares for $395,000.</w:t>
            </w:r>
          </w:p>
        </w:tc>
      </w:tr>
    </w:tbl>
    <w:p w:rsidR="00EC1BDC" w:rsidRPr="00EC1BDC" w:rsidRDefault="00EC1BDC" w:rsidP="00EC1BDC">
      <w:pPr>
        <w:spacing w:before="96" w:after="48" w:line="240" w:lineRule="auto"/>
        <w:jc w:val="both"/>
        <w:rPr>
          <w:rFonts w:ascii="Times New Roman" w:eastAsia="Times New Roman" w:hAnsi="Times New Roman" w:cs="Times New Roman"/>
          <w:b/>
          <w:bCs/>
          <w:color w:val="F58345"/>
          <w:lang w:val="en"/>
        </w:rPr>
      </w:pPr>
      <w:r w:rsidRPr="00EC1BDC">
        <w:rPr>
          <w:rFonts w:ascii="Times New Roman" w:eastAsia="Times New Roman" w:hAnsi="Times New Roman" w:cs="Times New Roman"/>
          <w:b/>
          <w:bCs/>
          <w:color w:val="F58345"/>
          <w:lang w:val="en"/>
        </w:rPr>
        <w:t>Required:</w:t>
      </w:r>
    </w:p>
    <w:p w:rsidR="00EC1BDC" w:rsidRPr="00EC1BDC" w:rsidRDefault="00EC1BDC" w:rsidP="00EC1BDC">
      <w:pPr>
        <w:spacing w:before="60" w:after="60" w:line="240" w:lineRule="auto"/>
        <w:ind w:left="360" w:hanging="225"/>
        <w:rPr>
          <w:rFonts w:ascii="Times New Roman" w:eastAsia="Times New Roman" w:hAnsi="Times New Roman" w:cs="Times New Roman"/>
          <w:lang w:val="en"/>
        </w:rPr>
      </w:pPr>
      <w:r w:rsidRPr="00EC1BDC">
        <w:rPr>
          <w:rFonts w:ascii="Times New Roman" w:eastAsia="Times New Roman" w:hAnsi="Times New Roman" w:cs="Times New Roman"/>
          <w:lang w:val="en"/>
        </w:rPr>
        <w:t>1. Prepare the appropriate journal entry for each transaction.</w:t>
      </w:r>
    </w:p>
    <w:p w:rsidR="00EC1BDC" w:rsidRDefault="00EC1BDC" w:rsidP="00EC1BDC">
      <w:pPr>
        <w:spacing w:before="60" w:after="60" w:line="240" w:lineRule="auto"/>
        <w:ind w:left="360" w:hanging="225"/>
        <w:rPr>
          <w:rFonts w:ascii="Times New Roman" w:eastAsia="Times New Roman" w:hAnsi="Times New Roman" w:cs="Times New Roman"/>
          <w:lang w:val="en"/>
        </w:rPr>
      </w:pPr>
      <w:r w:rsidRPr="00EC1BDC">
        <w:rPr>
          <w:rFonts w:ascii="Times New Roman" w:eastAsia="Times New Roman" w:hAnsi="Times New Roman" w:cs="Times New Roman"/>
          <w:lang w:val="en"/>
        </w:rPr>
        <w:t xml:space="preserve">2. Indicate any amounts that </w:t>
      </w:r>
      <w:proofErr w:type="spellStart"/>
      <w:r w:rsidRPr="00EC1BDC">
        <w:rPr>
          <w:rFonts w:ascii="Times New Roman" w:eastAsia="Times New Roman" w:hAnsi="Times New Roman" w:cs="Times New Roman"/>
          <w:lang w:val="en"/>
        </w:rPr>
        <w:t>Rantzow</w:t>
      </w:r>
      <w:proofErr w:type="spellEnd"/>
      <w:r w:rsidRPr="00EC1BDC">
        <w:rPr>
          <w:rFonts w:ascii="Times New Roman" w:eastAsia="Times New Roman" w:hAnsi="Times New Roman" w:cs="Times New Roman"/>
          <w:lang w:val="en"/>
        </w:rPr>
        <w:t>-Lear Company would report in its 2016 balance sheet and income statement as a result of this investment.</w:t>
      </w:r>
    </w:p>
    <w:p w:rsidR="00EC1BDC" w:rsidRDefault="00EC1BDC" w:rsidP="00EC1BDC">
      <w:pPr>
        <w:spacing w:before="60" w:after="60" w:line="240" w:lineRule="auto"/>
        <w:ind w:left="360" w:hanging="225"/>
        <w:rPr>
          <w:rFonts w:ascii="Times New Roman" w:eastAsia="Times New Roman" w:hAnsi="Times New Roman" w:cs="Times New Roman"/>
          <w:lang w:val="en"/>
        </w:rPr>
      </w:pPr>
    </w:p>
    <w:p w:rsidR="00EC1BDC" w:rsidRDefault="00EC1BDC" w:rsidP="00EC1BDC">
      <w:pPr>
        <w:spacing w:before="60" w:after="60" w:line="240" w:lineRule="auto"/>
        <w:ind w:left="360" w:hanging="225"/>
        <w:rPr>
          <w:rFonts w:ascii="Times New Roman" w:eastAsia="Times New Roman" w:hAnsi="Times New Roman" w:cs="Times New Roman"/>
          <w:lang w:val="en"/>
        </w:rPr>
      </w:pPr>
    </w:p>
    <w:p w:rsidR="00EC1BDC" w:rsidRDefault="00EC1BDC" w:rsidP="00EC1BDC">
      <w:pPr>
        <w:spacing w:before="60" w:after="60" w:line="240" w:lineRule="auto"/>
        <w:ind w:left="360" w:hanging="225"/>
        <w:rPr>
          <w:rFonts w:ascii="Times New Roman" w:eastAsia="Times New Roman" w:hAnsi="Times New Roman" w:cs="Times New Roman"/>
          <w:lang w:val="en"/>
        </w:rPr>
      </w:pPr>
    </w:p>
    <w:p w:rsidR="00EC1BDC" w:rsidRPr="00EC1BDC" w:rsidRDefault="00EC1BDC" w:rsidP="00EC1BDC">
      <w:pPr>
        <w:spacing w:after="24" w:line="240" w:lineRule="auto"/>
        <w:jc w:val="both"/>
        <w:rPr>
          <w:rFonts w:ascii="Times New Roman" w:eastAsia="Times New Roman" w:hAnsi="Times New Roman" w:cs="Times New Roman"/>
          <w:lang w:val="en"/>
        </w:rPr>
      </w:pPr>
      <w:r w:rsidRPr="00EC1BDC">
        <w:rPr>
          <w:rFonts w:ascii="Times New Roman" w:eastAsia="Times New Roman" w:hAnsi="Times New Roman" w:cs="Times New Roman"/>
          <w:b/>
          <w:bCs/>
          <w:color w:val="ED1C24"/>
          <w:lang w:val="en"/>
        </w:rPr>
        <w:t>E 12–8</w:t>
      </w:r>
      <w:r w:rsidRPr="00EC1BDC">
        <w:rPr>
          <w:rFonts w:ascii="Times New Roman" w:eastAsia="Times New Roman" w:hAnsi="Times New Roman" w:cs="Times New Roman"/>
          <w:lang w:val="en"/>
        </w:rPr>
        <w:br/>
        <w:t xml:space="preserve">Classification of securities; </w:t>
      </w:r>
      <w:proofErr w:type="spellStart"/>
      <w:r w:rsidRPr="00EC1BDC">
        <w:rPr>
          <w:rFonts w:ascii="Times New Roman" w:eastAsia="Times New Roman" w:hAnsi="Times New Roman" w:cs="Times New Roman"/>
          <w:lang w:val="en"/>
        </w:rPr>
        <w:t>adjussting</w:t>
      </w:r>
      <w:proofErr w:type="spellEnd"/>
      <w:r w:rsidRPr="00EC1BDC">
        <w:rPr>
          <w:rFonts w:ascii="Times New Roman" w:eastAsia="Times New Roman" w:hAnsi="Times New Roman" w:cs="Times New Roman"/>
          <w:lang w:val="en"/>
        </w:rPr>
        <w:t xml:space="preserve"> entries</w:t>
      </w:r>
    </w:p>
    <w:p w:rsidR="00EC1BDC" w:rsidRPr="00EC1BDC" w:rsidRDefault="00EC1BDC" w:rsidP="00EC1BDC">
      <w:pPr>
        <w:spacing w:before="48" w:after="180" w:line="240" w:lineRule="auto"/>
        <w:ind w:hanging="225"/>
        <w:rPr>
          <w:rFonts w:ascii="Times New Roman" w:eastAsia="Times New Roman" w:hAnsi="Times New Roman" w:cs="Times New Roman"/>
          <w:sz w:val="19"/>
          <w:szCs w:val="19"/>
          <w:lang w:val="en"/>
        </w:rPr>
      </w:pPr>
      <w:r w:rsidRPr="00EC1BDC">
        <w:rPr>
          <w:rFonts w:ascii="Times New Roman" w:eastAsia="Times New Roman" w:hAnsi="Times New Roman" w:cs="Times New Roman"/>
          <w:noProof/>
          <w:sz w:val="19"/>
          <w:szCs w:val="19"/>
        </w:rPr>
        <w:drawing>
          <wp:inline distT="0" distB="0" distL="0" distR="0" wp14:anchorId="4DCFC147" wp14:editId="3636A233">
            <wp:extent cx="85725" cy="85725"/>
            <wp:effectExtent l="0" t="0" r="9525" b="9525"/>
            <wp:docPr id="4" name="Picture 4"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C1BDC">
        <w:rPr>
          <w:rFonts w:ascii="Times New Roman" w:eastAsia="Times New Roman" w:hAnsi="Times New Roman" w:cs="Times New Roman"/>
          <w:b/>
          <w:bCs/>
          <w:sz w:val="19"/>
          <w:szCs w:val="19"/>
          <w:lang w:val="en"/>
        </w:rPr>
        <w:t>LO12–3</w:t>
      </w:r>
    </w:p>
    <w:p w:rsidR="00EC1BDC" w:rsidRPr="00EC1BDC" w:rsidRDefault="00EC1BDC" w:rsidP="00EC1BDC">
      <w:pPr>
        <w:spacing w:before="24" w:after="24" w:line="240" w:lineRule="auto"/>
        <w:jc w:val="both"/>
        <w:rPr>
          <w:rFonts w:ascii="Times New Roman" w:eastAsia="Times New Roman" w:hAnsi="Times New Roman" w:cs="Times New Roman"/>
          <w:lang w:val="en"/>
        </w:rPr>
      </w:pPr>
      <w:r w:rsidRPr="00EC1BDC">
        <w:rPr>
          <w:rFonts w:ascii="Times New Roman" w:eastAsia="Times New Roman" w:hAnsi="Times New Roman" w:cs="Times New Roman"/>
          <w:lang w:val="en"/>
        </w:rPr>
        <w:t xml:space="preserve">On February 18, 2016, Union Corporation purchased 10,000 shares of </w:t>
      </w:r>
      <w:r w:rsidRPr="00EC1BDC">
        <w:rPr>
          <w:rFonts w:ascii="Times New Roman" w:eastAsia="Times New Roman" w:hAnsi="Times New Roman" w:cs="Times New Roman"/>
          <w:b/>
          <w:bCs/>
          <w:color w:val="ED1C24"/>
          <w:lang w:val="en"/>
        </w:rPr>
        <w:t>IBM</w:t>
      </w:r>
      <w:r w:rsidRPr="00EC1BDC">
        <w:rPr>
          <w:rFonts w:ascii="Times New Roman" w:eastAsia="Times New Roman" w:hAnsi="Times New Roman" w:cs="Times New Roman"/>
          <w:lang w:val="en"/>
        </w:rPr>
        <w:t xml:space="preserve"> common stock as a long-term investment at $60 per share. On December 31, 2016, and December 31, 2017, the market value of IBM stock is $58 and $61 per share, respectively.</w:t>
      </w:r>
    </w:p>
    <w:p w:rsidR="00EC1BDC" w:rsidRPr="00EC1BDC" w:rsidRDefault="00EC1BDC" w:rsidP="00EC1BDC">
      <w:pPr>
        <w:spacing w:before="96" w:after="48" w:line="240" w:lineRule="auto"/>
        <w:jc w:val="both"/>
        <w:rPr>
          <w:rFonts w:ascii="Times New Roman" w:eastAsia="Times New Roman" w:hAnsi="Times New Roman" w:cs="Times New Roman"/>
          <w:b/>
          <w:bCs/>
          <w:color w:val="F58345"/>
          <w:lang w:val="en"/>
        </w:rPr>
      </w:pPr>
      <w:r w:rsidRPr="00EC1BDC">
        <w:rPr>
          <w:rFonts w:ascii="Times New Roman" w:eastAsia="Times New Roman" w:hAnsi="Times New Roman" w:cs="Times New Roman"/>
          <w:b/>
          <w:bCs/>
          <w:color w:val="F58345"/>
          <w:lang w:val="en"/>
        </w:rPr>
        <w:t>Required:</w:t>
      </w:r>
    </w:p>
    <w:p w:rsidR="00EC1BDC" w:rsidRPr="00EC1BDC" w:rsidRDefault="00EC1BDC" w:rsidP="00EC1BDC">
      <w:pPr>
        <w:spacing w:before="60" w:after="60" w:line="240" w:lineRule="auto"/>
        <w:ind w:left="360" w:hanging="225"/>
        <w:rPr>
          <w:rFonts w:ascii="Times New Roman" w:eastAsia="Times New Roman" w:hAnsi="Times New Roman" w:cs="Times New Roman"/>
          <w:lang w:val="en"/>
        </w:rPr>
      </w:pPr>
      <w:r w:rsidRPr="00EC1BDC">
        <w:rPr>
          <w:rFonts w:ascii="Times New Roman" w:eastAsia="Times New Roman" w:hAnsi="Times New Roman" w:cs="Times New Roman"/>
          <w:lang w:val="en"/>
        </w:rPr>
        <w:t>1. What is the appropriate reporting category for this investment? Why?</w:t>
      </w:r>
    </w:p>
    <w:p w:rsidR="00EC1BDC" w:rsidRPr="00EC1BDC" w:rsidRDefault="00EC1BDC" w:rsidP="00EC1BDC">
      <w:pPr>
        <w:spacing w:before="60" w:after="60" w:line="240" w:lineRule="auto"/>
        <w:ind w:left="360" w:hanging="225"/>
        <w:rPr>
          <w:rFonts w:ascii="Times New Roman" w:eastAsia="Times New Roman" w:hAnsi="Times New Roman" w:cs="Times New Roman"/>
          <w:lang w:val="en"/>
        </w:rPr>
      </w:pPr>
      <w:r w:rsidRPr="00EC1BDC">
        <w:rPr>
          <w:rFonts w:ascii="Times New Roman" w:eastAsia="Times New Roman" w:hAnsi="Times New Roman" w:cs="Times New Roman"/>
          <w:lang w:val="en"/>
        </w:rPr>
        <w:t>2. Prepare the adjusting entry for December 31, 2016.</w:t>
      </w:r>
    </w:p>
    <w:p w:rsidR="00EC1BDC" w:rsidRPr="00EC1BDC" w:rsidRDefault="00EC1BDC" w:rsidP="00EC1BDC">
      <w:pPr>
        <w:spacing w:before="60" w:after="60" w:line="240" w:lineRule="auto"/>
        <w:ind w:left="360" w:hanging="225"/>
        <w:rPr>
          <w:rFonts w:ascii="Times New Roman" w:eastAsia="Times New Roman" w:hAnsi="Times New Roman" w:cs="Times New Roman"/>
          <w:lang w:val="en"/>
        </w:rPr>
      </w:pPr>
      <w:r w:rsidRPr="00EC1BDC">
        <w:rPr>
          <w:rFonts w:ascii="Times New Roman" w:eastAsia="Times New Roman" w:hAnsi="Times New Roman" w:cs="Times New Roman"/>
          <w:lang w:val="en"/>
        </w:rPr>
        <w:t>3. Prepare the adjusting entry for December 31, 2017.</w:t>
      </w:r>
    </w:p>
    <w:p w:rsidR="00EC1BDC" w:rsidRDefault="00EC1BDC" w:rsidP="00EC1BDC">
      <w:pPr>
        <w:spacing w:before="60" w:after="60" w:line="240" w:lineRule="auto"/>
        <w:ind w:left="360" w:hanging="225"/>
        <w:rPr>
          <w:rFonts w:ascii="Times New Roman" w:eastAsia="Times New Roman" w:hAnsi="Times New Roman" w:cs="Times New Roman"/>
          <w:lang w:val="en"/>
        </w:rPr>
      </w:pPr>
    </w:p>
    <w:p w:rsidR="00EC1BDC" w:rsidRDefault="00EC1BDC" w:rsidP="00EC1BDC">
      <w:pPr>
        <w:spacing w:before="60" w:after="60" w:line="240" w:lineRule="auto"/>
        <w:ind w:left="360" w:hanging="225"/>
        <w:rPr>
          <w:rFonts w:ascii="Times New Roman" w:eastAsia="Times New Roman" w:hAnsi="Times New Roman" w:cs="Times New Roman"/>
          <w:lang w:val="en"/>
        </w:rPr>
      </w:pPr>
    </w:p>
    <w:p w:rsidR="00EC1BDC" w:rsidRDefault="00EC1BDC" w:rsidP="00EC1BDC">
      <w:pPr>
        <w:spacing w:before="60" w:after="60" w:line="240" w:lineRule="auto"/>
        <w:ind w:left="360" w:hanging="225"/>
        <w:rPr>
          <w:rFonts w:ascii="Times New Roman" w:eastAsia="Times New Roman" w:hAnsi="Times New Roman" w:cs="Times New Roman"/>
          <w:lang w:val="en"/>
        </w:rPr>
      </w:pPr>
    </w:p>
    <w:p w:rsidR="00EC1BDC" w:rsidRPr="00EC1BDC" w:rsidRDefault="00EC1BDC" w:rsidP="00EC1BDC">
      <w:pPr>
        <w:spacing w:after="24" w:line="240" w:lineRule="auto"/>
        <w:jc w:val="both"/>
        <w:rPr>
          <w:rFonts w:ascii="Times New Roman" w:eastAsia="Times New Roman" w:hAnsi="Times New Roman" w:cs="Times New Roman"/>
          <w:lang w:val="en"/>
        </w:rPr>
      </w:pPr>
      <w:r w:rsidRPr="00EC1BDC">
        <w:rPr>
          <w:rFonts w:ascii="Times New Roman" w:eastAsia="Times New Roman" w:hAnsi="Times New Roman" w:cs="Times New Roman"/>
          <w:b/>
          <w:bCs/>
          <w:color w:val="ED1C24"/>
          <w:lang w:val="en"/>
        </w:rPr>
        <w:t>E 12–14</w:t>
      </w:r>
      <w:r w:rsidRPr="00EC1BDC">
        <w:rPr>
          <w:rFonts w:ascii="Times New Roman" w:eastAsia="Times New Roman" w:hAnsi="Times New Roman" w:cs="Times New Roman"/>
          <w:lang w:val="en"/>
        </w:rPr>
        <w:br/>
        <w:t>Accounting for debt investments</w:t>
      </w:r>
    </w:p>
    <w:p w:rsidR="00EC1BDC" w:rsidRPr="00EC1BDC" w:rsidRDefault="00EC1BDC" w:rsidP="00EC1BDC">
      <w:pPr>
        <w:spacing w:before="48" w:after="180" w:line="240" w:lineRule="auto"/>
        <w:ind w:hanging="225"/>
        <w:rPr>
          <w:rFonts w:ascii="Times New Roman" w:eastAsia="Times New Roman" w:hAnsi="Times New Roman" w:cs="Times New Roman"/>
          <w:sz w:val="19"/>
          <w:szCs w:val="19"/>
          <w:lang w:val="en"/>
        </w:rPr>
      </w:pPr>
      <w:r w:rsidRPr="00EC1BDC">
        <w:rPr>
          <w:rFonts w:ascii="Times New Roman" w:eastAsia="Times New Roman" w:hAnsi="Times New Roman" w:cs="Times New Roman"/>
          <w:noProof/>
          <w:sz w:val="19"/>
          <w:szCs w:val="19"/>
        </w:rPr>
        <w:drawing>
          <wp:inline distT="0" distB="0" distL="0" distR="0" wp14:anchorId="59036B1D" wp14:editId="73310E4D">
            <wp:extent cx="85725" cy="85725"/>
            <wp:effectExtent l="0" t="0" r="9525" b="9525"/>
            <wp:docPr id="5" name="Picture 5"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EC1BDC">
        <w:rPr>
          <w:rFonts w:ascii="Times New Roman" w:eastAsia="Times New Roman" w:hAnsi="Times New Roman" w:cs="Times New Roman"/>
          <w:b/>
          <w:bCs/>
          <w:sz w:val="19"/>
          <w:szCs w:val="19"/>
          <w:lang w:val="en"/>
        </w:rPr>
        <w:t>LO12–1, LO12–8</w:t>
      </w:r>
    </w:p>
    <w:p w:rsidR="00EC1BDC" w:rsidRPr="00EC1BDC" w:rsidRDefault="00EC1BDC" w:rsidP="00EC1BDC">
      <w:pPr>
        <w:spacing w:before="168" w:after="168" w:line="240" w:lineRule="auto"/>
        <w:rPr>
          <w:rFonts w:ascii="Times New Roman" w:eastAsia="Times New Roman" w:hAnsi="Times New Roman" w:cs="Times New Roman"/>
          <w:sz w:val="24"/>
          <w:szCs w:val="24"/>
          <w:lang w:val="en"/>
        </w:rPr>
      </w:pPr>
      <w:r w:rsidRPr="00EC1BDC">
        <w:rPr>
          <w:rFonts w:ascii="Times New Roman" w:eastAsia="Times New Roman" w:hAnsi="Times New Roman" w:cs="Times New Roman"/>
          <w:noProof/>
          <w:sz w:val="24"/>
          <w:szCs w:val="24"/>
        </w:rPr>
        <w:drawing>
          <wp:inline distT="0" distB="0" distL="0" distR="0" wp14:anchorId="3BFE86DA" wp14:editId="2E881BCF">
            <wp:extent cx="342900" cy="133350"/>
            <wp:effectExtent l="0" t="0" r="0" b="0"/>
            <wp:docPr id="6" name="Picture 6"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900" cy="133350"/>
                    </a:xfrm>
                    <a:prstGeom prst="rect">
                      <a:avLst/>
                    </a:prstGeom>
                    <a:noFill/>
                    <a:ln>
                      <a:noFill/>
                    </a:ln>
                  </pic:spPr>
                </pic:pic>
              </a:graphicData>
            </a:graphic>
          </wp:inline>
        </w:drawing>
      </w:r>
    </w:p>
    <w:p w:rsidR="00EC1BDC" w:rsidRPr="00EC1BDC" w:rsidRDefault="00EC1BDC" w:rsidP="00EC1BDC">
      <w:pPr>
        <w:spacing w:before="24" w:after="24" w:line="240" w:lineRule="auto"/>
        <w:jc w:val="both"/>
        <w:rPr>
          <w:rFonts w:ascii="Times New Roman" w:eastAsia="Times New Roman" w:hAnsi="Times New Roman" w:cs="Times New Roman"/>
          <w:lang w:val="en"/>
        </w:rPr>
      </w:pPr>
      <w:proofErr w:type="spellStart"/>
      <w:r w:rsidRPr="00EC1BDC">
        <w:rPr>
          <w:rFonts w:ascii="Times New Roman" w:eastAsia="Times New Roman" w:hAnsi="Times New Roman" w:cs="Times New Roman"/>
          <w:lang w:val="en"/>
        </w:rPr>
        <w:t>Watney</w:t>
      </w:r>
      <w:proofErr w:type="spellEnd"/>
      <w:r w:rsidRPr="00EC1BDC">
        <w:rPr>
          <w:rFonts w:ascii="Times New Roman" w:eastAsia="Times New Roman" w:hAnsi="Times New Roman" w:cs="Times New Roman"/>
          <w:lang w:val="en"/>
        </w:rPr>
        <w:t xml:space="preserve"> Inc. purchased $10,000 of 6% Hamel bonds at par on July 1, 2016. The bonds pay interest semiannually, and pay only interest and principal. </w:t>
      </w:r>
      <w:proofErr w:type="spellStart"/>
      <w:r w:rsidRPr="00EC1BDC">
        <w:rPr>
          <w:rFonts w:ascii="Times New Roman" w:eastAsia="Times New Roman" w:hAnsi="Times New Roman" w:cs="Times New Roman"/>
          <w:lang w:val="en"/>
        </w:rPr>
        <w:t>Watney</w:t>
      </w:r>
      <w:proofErr w:type="spellEnd"/>
      <w:r w:rsidRPr="00EC1BDC">
        <w:rPr>
          <w:rFonts w:ascii="Times New Roman" w:eastAsia="Times New Roman" w:hAnsi="Times New Roman" w:cs="Times New Roman"/>
          <w:lang w:val="en"/>
        </w:rPr>
        <w:t xml:space="preserve"> intends to hold the Hamel bonds for purposes of collecting the cash flows provided by interest and principal. During the second half of 2016, an increase in interest rates reduced the fair value of the bonds to $9,000. </w:t>
      </w:r>
      <w:proofErr w:type="spellStart"/>
      <w:r w:rsidRPr="00EC1BDC">
        <w:rPr>
          <w:rFonts w:ascii="Times New Roman" w:eastAsia="Times New Roman" w:hAnsi="Times New Roman" w:cs="Times New Roman"/>
          <w:lang w:val="en"/>
        </w:rPr>
        <w:t>Watney</w:t>
      </w:r>
      <w:proofErr w:type="spellEnd"/>
      <w:r w:rsidRPr="00EC1BDC">
        <w:rPr>
          <w:rFonts w:ascii="Times New Roman" w:eastAsia="Times New Roman" w:hAnsi="Times New Roman" w:cs="Times New Roman"/>
          <w:lang w:val="en"/>
        </w:rPr>
        <w:t xml:space="preserve"> reports investments under </w:t>
      </w:r>
      <w:r w:rsidRPr="00EC1BDC">
        <w:rPr>
          <w:rFonts w:ascii="Times New Roman" w:eastAsia="Times New Roman" w:hAnsi="Times New Roman" w:cs="Times New Roman"/>
          <w:i/>
          <w:iCs/>
          <w:lang w:val="en"/>
        </w:rPr>
        <w:t>IFRS No. 9.</w:t>
      </w:r>
    </w:p>
    <w:p w:rsidR="00EC1BDC" w:rsidRPr="00EC1BDC" w:rsidRDefault="00EC1BDC" w:rsidP="00EC1BDC">
      <w:pPr>
        <w:spacing w:before="96" w:after="48" w:line="240" w:lineRule="auto"/>
        <w:jc w:val="both"/>
        <w:rPr>
          <w:rFonts w:ascii="Times New Roman" w:eastAsia="Times New Roman" w:hAnsi="Times New Roman" w:cs="Times New Roman"/>
          <w:b/>
          <w:bCs/>
          <w:color w:val="F58345"/>
          <w:lang w:val="en"/>
        </w:rPr>
      </w:pPr>
      <w:r w:rsidRPr="00EC1BDC">
        <w:rPr>
          <w:rFonts w:ascii="Times New Roman" w:eastAsia="Times New Roman" w:hAnsi="Times New Roman" w:cs="Times New Roman"/>
          <w:b/>
          <w:bCs/>
          <w:color w:val="F58345"/>
          <w:lang w:val="en"/>
        </w:rPr>
        <w:t>Required:</w:t>
      </w:r>
    </w:p>
    <w:p w:rsidR="00EC1BDC" w:rsidRPr="00EC1BDC" w:rsidRDefault="00EC1BDC" w:rsidP="00EC1BDC">
      <w:pPr>
        <w:spacing w:before="60" w:after="60" w:line="240" w:lineRule="auto"/>
        <w:ind w:left="360" w:hanging="225"/>
        <w:rPr>
          <w:rFonts w:ascii="Times New Roman" w:eastAsia="Times New Roman" w:hAnsi="Times New Roman" w:cs="Times New Roman"/>
          <w:lang w:val="en"/>
        </w:rPr>
      </w:pPr>
      <w:r w:rsidRPr="00EC1BDC">
        <w:rPr>
          <w:rFonts w:ascii="Times New Roman" w:eastAsia="Times New Roman" w:hAnsi="Times New Roman" w:cs="Times New Roman"/>
          <w:lang w:val="en"/>
        </w:rPr>
        <w:t xml:space="preserve">1. Prepare the December 31, 2016, journal entry to record </w:t>
      </w:r>
      <w:proofErr w:type="spellStart"/>
      <w:r w:rsidRPr="00EC1BDC">
        <w:rPr>
          <w:rFonts w:ascii="Times New Roman" w:eastAsia="Times New Roman" w:hAnsi="Times New Roman" w:cs="Times New Roman"/>
          <w:lang w:val="en"/>
        </w:rPr>
        <w:t>Watney’s</w:t>
      </w:r>
      <w:proofErr w:type="spellEnd"/>
      <w:r w:rsidRPr="00EC1BDC">
        <w:rPr>
          <w:rFonts w:ascii="Times New Roman" w:eastAsia="Times New Roman" w:hAnsi="Times New Roman" w:cs="Times New Roman"/>
          <w:lang w:val="en"/>
        </w:rPr>
        <w:t xml:space="preserve"> interest revenue.</w:t>
      </w:r>
    </w:p>
    <w:p w:rsidR="00EC1BDC" w:rsidRPr="00EC1BDC" w:rsidRDefault="00EC1BDC" w:rsidP="00EC1BDC">
      <w:pPr>
        <w:spacing w:before="60" w:after="60" w:line="240" w:lineRule="auto"/>
        <w:ind w:left="360" w:hanging="225"/>
        <w:rPr>
          <w:rFonts w:ascii="Times New Roman" w:eastAsia="Times New Roman" w:hAnsi="Times New Roman" w:cs="Times New Roman"/>
          <w:lang w:val="en"/>
        </w:rPr>
      </w:pPr>
      <w:r w:rsidRPr="00EC1BDC">
        <w:rPr>
          <w:rFonts w:ascii="Times New Roman" w:eastAsia="Times New Roman" w:hAnsi="Times New Roman" w:cs="Times New Roman"/>
          <w:lang w:val="en"/>
        </w:rPr>
        <w:t>2. Prepare the December 31, 2016, journal entry (if any is required) to record unrealized gains or losses on the Hamel bonds during 2016. (Do not consider whether an impairment should be recorded.)</w:t>
      </w:r>
    </w:p>
    <w:p w:rsidR="00EC1BDC" w:rsidRDefault="00EC1BDC" w:rsidP="00EC1BDC">
      <w:pPr>
        <w:spacing w:before="60" w:after="60" w:line="240" w:lineRule="auto"/>
        <w:ind w:left="360" w:hanging="225"/>
        <w:rPr>
          <w:rFonts w:ascii="Times New Roman" w:eastAsia="Times New Roman" w:hAnsi="Times New Roman" w:cs="Times New Roman"/>
          <w:lang w:val="en"/>
        </w:rPr>
      </w:pPr>
    </w:p>
    <w:p w:rsidR="00EC1BDC" w:rsidRPr="00EC1BDC" w:rsidRDefault="00EC1BDC" w:rsidP="00EC1BDC">
      <w:pPr>
        <w:spacing w:before="60" w:after="60" w:line="240" w:lineRule="auto"/>
        <w:ind w:left="360" w:hanging="225"/>
        <w:rPr>
          <w:rFonts w:ascii="Times New Roman" w:eastAsia="Times New Roman" w:hAnsi="Times New Roman" w:cs="Times New Roman"/>
          <w:lang w:val="en"/>
        </w:rPr>
      </w:pPr>
    </w:p>
    <w:p w:rsidR="00EC1BDC" w:rsidRDefault="00EC1BDC" w:rsidP="00F77749">
      <w:pPr>
        <w:tabs>
          <w:tab w:val="left" w:pos="7590"/>
        </w:tabs>
      </w:pPr>
    </w:p>
    <w:p w:rsidR="00F77749" w:rsidRDefault="00F77749" w:rsidP="00F77749">
      <w:pPr>
        <w:tabs>
          <w:tab w:val="left" w:pos="7590"/>
        </w:tabs>
      </w:pPr>
      <w:r>
        <w:tab/>
      </w:r>
    </w:p>
    <w:sectPr w:rsidR="00F777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749"/>
    <w:rsid w:val="00594510"/>
    <w:rsid w:val="00993B3A"/>
    <w:rsid w:val="00E43F4B"/>
    <w:rsid w:val="00EC1BDC"/>
    <w:rsid w:val="00F77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text">
    <w:name w:val="be-text"/>
    <w:basedOn w:val="Normal"/>
    <w:rsid w:val="00EC1B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num">
    <w:name w:val="lo-num"/>
    <w:basedOn w:val="Normal"/>
    <w:rsid w:val="00EC1B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ext">
    <w:name w:val="btext"/>
    <w:basedOn w:val="Normal"/>
    <w:rsid w:val="00EC1B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a">
    <w:name w:val="texta"/>
    <w:basedOn w:val="Normal"/>
    <w:rsid w:val="00EC1B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numlist">
    <w:name w:val="bnumlist"/>
    <w:basedOn w:val="Normal"/>
    <w:rsid w:val="00EC1BD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C1B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B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text">
    <w:name w:val="be-text"/>
    <w:basedOn w:val="Normal"/>
    <w:rsid w:val="00EC1B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num">
    <w:name w:val="lo-num"/>
    <w:basedOn w:val="Normal"/>
    <w:rsid w:val="00EC1B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ext">
    <w:name w:val="btext"/>
    <w:basedOn w:val="Normal"/>
    <w:rsid w:val="00EC1B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a">
    <w:name w:val="texta"/>
    <w:basedOn w:val="Normal"/>
    <w:rsid w:val="00EC1B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numlist">
    <w:name w:val="bnumlist"/>
    <w:basedOn w:val="Normal"/>
    <w:rsid w:val="00EC1BD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C1B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B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364688">
      <w:bodyDiv w:val="1"/>
      <w:marLeft w:val="0"/>
      <w:marRight w:val="0"/>
      <w:marTop w:val="0"/>
      <w:marBottom w:val="0"/>
      <w:divBdr>
        <w:top w:val="none" w:sz="0" w:space="0" w:color="auto"/>
        <w:left w:val="none" w:sz="0" w:space="0" w:color="auto"/>
        <w:bottom w:val="none" w:sz="0" w:space="0" w:color="auto"/>
        <w:right w:val="none" w:sz="0" w:space="0" w:color="auto"/>
      </w:divBdr>
      <w:divsChild>
        <w:div w:id="1407992310">
          <w:marLeft w:val="0"/>
          <w:marRight w:val="0"/>
          <w:marTop w:val="0"/>
          <w:marBottom w:val="0"/>
          <w:divBdr>
            <w:top w:val="none" w:sz="0" w:space="0" w:color="auto"/>
            <w:left w:val="none" w:sz="0" w:space="0" w:color="auto"/>
            <w:bottom w:val="none" w:sz="0" w:space="0" w:color="auto"/>
            <w:right w:val="none" w:sz="0" w:space="0" w:color="auto"/>
          </w:divBdr>
        </w:div>
      </w:divsChild>
    </w:div>
    <w:div w:id="728695268">
      <w:bodyDiv w:val="1"/>
      <w:marLeft w:val="0"/>
      <w:marRight w:val="0"/>
      <w:marTop w:val="0"/>
      <w:marBottom w:val="0"/>
      <w:divBdr>
        <w:top w:val="none" w:sz="0" w:space="0" w:color="auto"/>
        <w:left w:val="none" w:sz="0" w:space="0" w:color="auto"/>
        <w:bottom w:val="none" w:sz="0" w:space="0" w:color="auto"/>
        <w:right w:val="none" w:sz="0" w:space="0" w:color="auto"/>
      </w:divBdr>
      <w:divsChild>
        <w:div w:id="1996178611">
          <w:marLeft w:val="240"/>
          <w:marRight w:val="120"/>
          <w:marTop w:val="240"/>
          <w:marBottom w:val="0"/>
          <w:divBdr>
            <w:top w:val="none" w:sz="0" w:space="0" w:color="auto"/>
            <w:left w:val="none" w:sz="0" w:space="0" w:color="auto"/>
            <w:bottom w:val="none" w:sz="0" w:space="0" w:color="auto"/>
            <w:right w:val="none" w:sz="0" w:space="0" w:color="auto"/>
          </w:divBdr>
        </w:div>
      </w:divsChild>
    </w:div>
    <w:div w:id="1417168609">
      <w:bodyDiv w:val="1"/>
      <w:marLeft w:val="0"/>
      <w:marRight w:val="0"/>
      <w:marTop w:val="0"/>
      <w:marBottom w:val="0"/>
      <w:divBdr>
        <w:top w:val="none" w:sz="0" w:space="0" w:color="auto"/>
        <w:left w:val="none" w:sz="0" w:space="0" w:color="auto"/>
        <w:bottom w:val="none" w:sz="0" w:space="0" w:color="auto"/>
        <w:right w:val="none" w:sz="0" w:space="0" w:color="auto"/>
      </w:divBdr>
      <w:divsChild>
        <w:div w:id="740174359">
          <w:marLeft w:val="240"/>
          <w:marRight w:val="120"/>
          <w:marTop w:val="240"/>
          <w:marBottom w:val="0"/>
          <w:divBdr>
            <w:top w:val="none" w:sz="0" w:space="0" w:color="auto"/>
            <w:left w:val="none" w:sz="0" w:space="0" w:color="auto"/>
            <w:bottom w:val="none" w:sz="0" w:space="0" w:color="auto"/>
            <w:right w:val="none" w:sz="0" w:space="0" w:color="auto"/>
          </w:divBdr>
        </w:div>
      </w:divsChild>
    </w:div>
    <w:div w:id="1680809185">
      <w:bodyDiv w:val="1"/>
      <w:marLeft w:val="0"/>
      <w:marRight w:val="0"/>
      <w:marTop w:val="0"/>
      <w:marBottom w:val="0"/>
      <w:divBdr>
        <w:top w:val="none" w:sz="0" w:space="0" w:color="auto"/>
        <w:left w:val="none" w:sz="0" w:space="0" w:color="auto"/>
        <w:bottom w:val="none" w:sz="0" w:space="0" w:color="auto"/>
        <w:right w:val="none" w:sz="0" w:space="0" w:color="auto"/>
      </w:divBdr>
      <w:divsChild>
        <w:div w:id="925502144">
          <w:marLeft w:val="240"/>
          <w:marRight w:val="120"/>
          <w:marTop w:val="240"/>
          <w:marBottom w:val="0"/>
          <w:divBdr>
            <w:top w:val="none" w:sz="0" w:space="0" w:color="auto"/>
            <w:left w:val="none" w:sz="0" w:space="0" w:color="auto"/>
            <w:bottom w:val="none" w:sz="0" w:space="0" w:color="auto"/>
            <w:right w:val="none" w:sz="0" w:space="0" w:color="auto"/>
          </w:divBdr>
        </w:div>
      </w:divsChild>
    </w:div>
    <w:div w:id="1944801829">
      <w:bodyDiv w:val="1"/>
      <w:marLeft w:val="0"/>
      <w:marRight w:val="0"/>
      <w:marTop w:val="0"/>
      <w:marBottom w:val="0"/>
      <w:divBdr>
        <w:top w:val="none" w:sz="0" w:space="0" w:color="auto"/>
        <w:left w:val="none" w:sz="0" w:space="0" w:color="auto"/>
        <w:bottom w:val="none" w:sz="0" w:space="0" w:color="auto"/>
        <w:right w:val="none" w:sz="0" w:space="0" w:color="auto"/>
      </w:divBdr>
      <w:divsChild>
        <w:div w:id="1722633685">
          <w:marLeft w:val="240"/>
          <w:marRight w:val="12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4F91D2D</Template>
  <TotalTime>40</TotalTime>
  <Pages>2</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Elicia Page</dc:creator>
  <cp:lastModifiedBy>Elicia Page</cp:lastModifiedBy>
  <cp:revision>1</cp:revision>
  <dcterms:created xsi:type="dcterms:W3CDTF">2017-05-25T13:46:00Z</dcterms:created>
  <dcterms:modified xsi:type="dcterms:W3CDTF">2017-05-25T14:26:00Z</dcterms:modified>
</cp:coreProperties>
</file>