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96979" w14:textId="043CDCF3" w:rsidR="00341ACC" w:rsidRDefault="00341ACC" w:rsidP="00C00AB6">
      <w:pPr>
        <w:jc w:val="both"/>
        <w:rPr>
          <w:b/>
          <w:bCs/>
          <w:u w:val="single"/>
          <w:lang w:val="en-US"/>
        </w:rPr>
      </w:pPr>
      <w:r w:rsidRPr="00747B2F">
        <w:rPr>
          <w:b/>
          <w:bCs/>
          <w:u w:val="single"/>
          <w:lang w:val="en-US"/>
        </w:rPr>
        <w:t>Q</w:t>
      </w:r>
      <w:r w:rsidR="00C00AB6">
        <w:rPr>
          <w:b/>
          <w:bCs/>
          <w:u w:val="single"/>
          <w:lang w:val="en-US"/>
        </w:rPr>
        <w:t>9</w:t>
      </w:r>
    </w:p>
    <w:p w14:paraId="12F024FF" w14:textId="77777777" w:rsidR="00207F13" w:rsidRPr="005D52FF" w:rsidRDefault="00207F13" w:rsidP="00207F13">
      <w:pPr>
        <w:pStyle w:val="Default"/>
        <w:jc w:val="both"/>
        <w:rPr>
          <w:b/>
        </w:rPr>
      </w:pPr>
      <w:r w:rsidRPr="005D52FF">
        <w:rPr>
          <w:b/>
        </w:rPr>
        <w:t>Part (a)</w:t>
      </w:r>
    </w:p>
    <w:p w14:paraId="21C7FC8B" w14:textId="77777777" w:rsidR="00207F13" w:rsidRDefault="00207F13" w:rsidP="00207F13">
      <w:pPr>
        <w:pStyle w:val="Default"/>
        <w:jc w:val="both"/>
      </w:pPr>
      <w:proofErr w:type="spellStart"/>
      <w:r>
        <w:t>Criscoes</w:t>
      </w:r>
      <w:proofErr w:type="spellEnd"/>
      <w:r>
        <w:t xml:space="preserve"> Homeware </w:t>
      </w:r>
      <w:r w:rsidRPr="007007FA">
        <w:t xml:space="preserve">Limited operates </w:t>
      </w:r>
      <w:r>
        <w:t xml:space="preserve">throughout New Zealand and provides </w:t>
      </w:r>
      <w:r w:rsidRPr="007007FA">
        <w:t xml:space="preserve">a customer loyalty programme </w:t>
      </w:r>
      <w:r>
        <w:t xml:space="preserve">in which customers </w:t>
      </w:r>
      <w:r w:rsidRPr="007007FA">
        <w:t xml:space="preserve">are granted loyalty points when they spend a specified amount on </w:t>
      </w:r>
      <w:r>
        <w:t>home utensils</w:t>
      </w:r>
      <w:r w:rsidRPr="007007FA">
        <w:t xml:space="preserve">. These points can then be redeemed to </w:t>
      </w:r>
      <w:r>
        <w:t>purchase further goods from the company’s departmental stores</w:t>
      </w:r>
      <w:r w:rsidRPr="007007FA">
        <w:t xml:space="preserve">. </w:t>
      </w:r>
    </w:p>
    <w:p w14:paraId="103012ED" w14:textId="77777777" w:rsidR="00207F13" w:rsidRDefault="00207F13" w:rsidP="00207F13">
      <w:pPr>
        <w:pStyle w:val="Default"/>
        <w:jc w:val="both"/>
      </w:pPr>
    </w:p>
    <w:p w14:paraId="1F52CAF1" w14:textId="77777777" w:rsidR="00207F13" w:rsidRPr="007007FA" w:rsidRDefault="00207F13" w:rsidP="002D0E55">
      <w:pPr>
        <w:pStyle w:val="Default"/>
        <w:jc w:val="both"/>
      </w:pPr>
      <w:r w:rsidRPr="007007FA">
        <w:t xml:space="preserve">During the reporting period </w:t>
      </w:r>
      <w:r>
        <w:t>ended 31</w:t>
      </w:r>
      <w:r w:rsidRPr="00F14F72">
        <w:rPr>
          <w:vertAlign w:val="superscript"/>
        </w:rPr>
        <w:t>st</w:t>
      </w:r>
      <w:r>
        <w:t xml:space="preserve"> December </w:t>
      </w:r>
      <w:r w:rsidRPr="007007FA">
        <w:t>20</w:t>
      </w:r>
      <w:r w:rsidR="002D0E55">
        <w:t>14</w:t>
      </w:r>
      <w:r w:rsidRPr="007007FA">
        <w:t xml:space="preserve"> the </w:t>
      </w:r>
      <w:r>
        <w:t>company awarded 5</w:t>
      </w:r>
      <w:r w:rsidRPr="007007FA">
        <w:t>00</w:t>
      </w:r>
      <w:r>
        <w:t>,</w:t>
      </w:r>
      <w:r w:rsidRPr="007007FA">
        <w:t>000 points</w:t>
      </w:r>
      <w:r>
        <w:t xml:space="preserve"> to its customers</w:t>
      </w:r>
      <w:r w:rsidRPr="007007FA">
        <w:t xml:space="preserve">. The fair value of each loyalty point is estimated to be $1. When the awards scheme was set up, </w:t>
      </w:r>
      <w:r>
        <w:t xml:space="preserve">the </w:t>
      </w:r>
      <w:r w:rsidRPr="007007FA">
        <w:t xml:space="preserve">management </w:t>
      </w:r>
      <w:r>
        <w:t xml:space="preserve">of the company </w:t>
      </w:r>
      <w:r w:rsidRPr="007007FA">
        <w:t xml:space="preserve">expected </w:t>
      </w:r>
      <w:r>
        <w:t>85%</w:t>
      </w:r>
      <w:r w:rsidRPr="007007FA">
        <w:t xml:space="preserve"> of these points to be redeemed. By the 31</w:t>
      </w:r>
      <w:r w:rsidRPr="00F14F72">
        <w:rPr>
          <w:vertAlign w:val="superscript"/>
        </w:rPr>
        <w:t>st</w:t>
      </w:r>
      <w:r>
        <w:t xml:space="preserve"> December </w:t>
      </w:r>
      <w:r w:rsidRPr="007007FA">
        <w:t>20</w:t>
      </w:r>
      <w:r w:rsidR="002D0E55">
        <w:t>14</w:t>
      </w:r>
      <w:r w:rsidRPr="007007FA">
        <w:t xml:space="preserve">, customers have redeemed </w:t>
      </w:r>
      <w:r>
        <w:t>255,</w:t>
      </w:r>
      <w:r w:rsidRPr="007007FA">
        <w:t xml:space="preserve">000 points in exchange for goods. </w:t>
      </w:r>
      <w:r>
        <w:t>The cost of the goods exchanged during the year ended 31</w:t>
      </w:r>
      <w:r w:rsidRPr="002A54F6">
        <w:rPr>
          <w:vertAlign w:val="superscript"/>
        </w:rPr>
        <w:t>st</w:t>
      </w:r>
      <w:r>
        <w:t xml:space="preserve"> December 20</w:t>
      </w:r>
      <w:r w:rsidR="002D0E55">
        <w:t>14</w:t>
      </w:r>
      <w:r>
        <w:t xml:space="preserve"> was $180,000.</w:t>
      </w:r>
    </w:p>
    <w:p w14:paraId="464045E9" w14:textId="77777777" w:rsidR="00207F13" w:rsidRDefault="00207F13" w:rsidP="00207F13">
      <w:pPr>
        <w:pStyle w:val="Default"/>
        <w:jc w:val="both"/>
      </w:pPr>
    </w:p>
    <w:p w14:paraId="2AC6C4A0" w14:textId="77777777" w:rsidR="00207F13" w:rsidRPr="007007FA" w:rsidRDefault="00207F13" w:rsidP="002D0E55">
      <w:pPr>
        <w:pStyle w:val="Default"/>
        <w:jc w:val="both"/>
      </w:pPr>
      <w:r w:rsidRPr="007007FA">
        <w:t>During the reporting period ending 31</w:t>
      </w:r>
      <w:r w:rsidRPr="00BB57B7">
        <w:rPr>
          <w:vertAlign w:val="superscript"/>
        </w:rPr>
        <w:t>st</w:t>
      </w:r>
      <w:r>
        <w:t xml:space="preserve"> December </w:t>
      </w:r>
      <w:r w:rsidRPr="007007FA">
        <w:t>201</w:t>
      </w:r>
      <w:r w:rsidR="002D0E55">
        <w:t>5</w:t>
      </w:r>
      <w:r w:rsidRPr="007007FA">
        <w:t xml:space="preserve">, </w:t>
      </w:r>
      <w:r>
        <w:t xml:space="preserve">the company </w:t>
      </w:r>
      <w:r w:rsidRPr="007007FA">
        <w:t>revise</w:t>
      </w:r>
      <w:r>
        <w:t>d</w:t>
      </w:r>
      <w:r w:rsidRPr="007007FA">
        <w:t xml:space="preserve"> its expectations and expect</w:t>
      </w:r>
      <w:r>
        <w:t>ed</w:t>
      </w:r>
      <w:r w:rsidRPr="007007FA">
        <w:t xml:space="preserve"> 90 per cent of the points to be redeemed</w:t>
      </w:r>
      <w:r w:rsidRPr="00BB57B7">
        <w:t>. For</w:t>
      </w:r>
      <w:r w:rsidRPr="007007FA">
        <w:t xml:space="preserve"> the reporting period ending 31</w:t>
      </w:r>
      <w:r w:rsidRPr="00BB57B7">
        <w:rPr>
          <w:vertAlign w:val="superscript"/>
        </w:rPr>
        <w:t>st</w:t>
      </w:r>
      <w:r>
        <w:t xml:space="preserve"> December </w:t>
      </w:r>
      <w:r w:rsidRPr="007007FA">
        <w:t>201</w:t>
      </w:r>
      <w:r w:rsidR="002D0E55">
        <w:t>5</w:t>
      </w:r>
      <w:r w:rsidRPr="007007FA">
        <w:t xml:space="preserve">, </w:t>
      </w:r>
      <w:r>
        <w:t xml:space="preserve">another 190,000 </w:t>
      </w:r>
      <w:r w:rsidRPr="007007FA">
        <w:t xml:space="preserve">of the points </w:t>
      </w:r>
      <w:r>
        <w:t>we</w:t>
      </w:r>
      <w:r w:rsidRPr="007007FA">
        <w:t xml:space="preserve">re redeemed. </w:t>
      </w:r>
      <w:r>
        <w:t>The cost of the goods exchanged during the year ended 31</w:t>
      </w:r>
      <w:r w:rsidRPr="002A54F6">
        <w:rPr>
          <w:vertAlign w:val="superscript"/>
        </w:rPr>
        <w:t>st</w:t>
      </w:r>
      <w:r>
        <w:t xml:space="preserve"> December 201</w:t>
      </w:r>
      <w:r w:rsidR="002D0E55">
        <w:t>5</w:t>
      </w:r>
      <w:r>
        <w:t xml:space="preserve"> was $120,000. </w:t>
      </w:r>
      <w:r w:rsidRPr="007007FA">
        <w:t>During the reporting period ending 31</w:t>
      </w:r>
      <w:r w:rsidRPr="00BB57B7">
        <w:rPr>
          <w:vertAlign w:val="superscript"/>
        </w:rPr>
        <w:t>st</w:t>
      </w:r>
      <w:r>
        <w:t xml:space="preserve"> December </w:t>
      </w:r>
      <w:r w:rsidRPr="007007FA">
        <w:t>201</w:t>
      </w:r>
      <w:r w:rsidR="002D0E55">
        <w:t>6</w:t>
      </w:r>
      <w:r w:rsidRPr="007007FA">
        <w:t xml:space="preserve">, a further </w:t>
      </w:r>
      <w:r>
        <w:t>25,</w:t>
      </w:r>
      <w:r w:rsidRPr="007007FA">
        <w:t xml:space="preserve">000 points </w:t>
      </w:r>
      <w:r>
        <w:t>we</w:t>
      </w:r>
      <w:r w:rsidRPr="007007FA">
        <w:t>re redeemed</w:t>
      </w:r>
      <w:r>
        <w:t>.</w:t>
      </w:r>
      <w:r w:rsidRPr="007007FA">
        <w:t xml:space="preserve"> </w:t>
      </w:r>
      <w:r>
        <w:t xml:space="preserve">The company does not </w:t>
      </w:r>
      <w:r w:rsidRPr="007007FA">
        <w:t xml:space="preserve">expect </w:t>
      </w:r>
      <w:r>
        <w:t xml:space="preserve">any more </w:t>
      </w:r>
      <w:r w:rsidRPr="007007FA">
        <w:t xml:space="preserve">points </w:t>
      </w:r>
      <w:r>
        <w:t xml:space="preserve">to </w:t>
      </w:r>
      <w:r w:rsidRPr="007007FA">
        <w:t>be redeemed after the reporting period ending 31</w:t>
      </w:r>
      <w:r w:rsidRPr="002A54F6">
        <w:rPr>
          <w:vertAlign w:val="superscript"/>
        </w:rPr>
        <w:t>st</w:t>
      </w:r>
      <w:r>
        <w:t xml:space="preserve"> December </w:t>
      </w:r>
      <w:r w:rsidRPr="007007FA">
        <w:t>201</w:t>
      </w:r>
      <w:r w:rsidR="002D0E55">
        <w:t>6</w:t>
      </w:r>
      <w:r w:rsidRPr="007007FA">
        <w:t xml:space="preserve">. </w:t>
      </w:r>
      <w:r>
        <w:t>The cost of the goods exchanged during the year ended 31</w:t>
      </w:r>
      <w:r w:rsidRPr="002A54F6">
        <w:rPr>
          <w:vertAlign w:val="superscript"/>
        </w:rPr>
        <w:t>st</w:t>
      </w:r>
      <w:r>
        <w:t xml:space="preserve"> December 201</w:t>
      </w:r>
      <w:r w:rsidR="002D0E55">
        <w:t>6</w:t>
      </w:r>
      <w:r>
        <w:t xml:space="preserve"> was $7,000.</w:t>
      </w:r>
    </w:p>
    <w:p w14:paraId="267204D2" w14:textId="77777777" w:rsidR="00207F13" w:rsidRDefault="00207F13" w:rsidP="00207F13">
      <w:pPr>
        <w:jc w:val="both"/>
      </w:pPr>
    </w:p>
    <w:p w14:paraId="7F2FA5D5" w14:textId="77777777" w:rsidR="00207F13" w:rsidRDefault="00207F13" w:rsidP="00207F13">
      <w:pPr>
        <w:jc w:val="both"/>
      </w:pPr>
      <w:r>
        <w:t>Required:</w:t>
      </w:r>
    </w:p>
    <w:p w14:paraId="61F9C966" w14:textId="77777777" w:rsidR="00207F13" w:rsidRDefault="00207F13" w:rsidP="002D0E55">
      <w:pPr>
        <w:pStyle w:val="Default"/>
        <w:numPr>
          <w:ilvl w:val="0"/>
          <w:numId w:val="5"/>
        </w:numPr>
        <w:jc w:val="both"/>
      </w:pPr>
      <w:r w:rsidRPr="007007FA">
        <w:t xml:space="preserve">Prepare the journal entries to account for </w:t>
      </w:r>
      <w:r>
        <w:t>the loyalty points for the year ended 31</w:t>
      </w:r>
      <w:r w:rsidRPr="0064450B">
        <w:rPr>
          <w:vertAlign w:val="superscript"/>
        </w:rPr>
        <w:t>st</w:t>
      </w:r>
      <w:r>
        <w:t xml:space="preserve"> December 20</w:t>
      </w:r>
      <w:r w:rsidR="002D0E55">
        <w:t>14</w:t>
      </w:r>
      <w:r w:rsidRPr="007007FA">
        <w:t>.</w:t>
      </w:r>
      <w:r>
        <w:tab/>
      </w:r>
      <w:r>
        <w:tab/>
      </w:r>
      <w:r>
        <w:tab/>
      </w:r>
      <w:r>
        <w:tab/>
      </w:r>
      <w:r>
        <w:tab/>
      </w:r>
    </w:p>
    <w:p w14:paraId="46B032FC" w14:textId="77777777" w:rsidR="00207F13" w:rsidRDefault="00207F13" w:rsidP="00207F13">
      <w:pPr>
        <w:pStyle w:val="Default"/>
        <w:jc w:val="both"/>
      </w:pPr>
    </w:p>
    <w:p w14:paraId="70A0BAB8" w14:textId="77777777" w:rsidR="00207F13" w:rsidRPr="007007FA" w:rsidRDefault="00207F13" w:rsidP="00120EA0">
      <w:pPr>
        <w:pStyle w:val="Default"/>
        <w:numPr>
          <w:ilvl w:val="0"/>
          <w:numId w:val="5"/>
        </w:numPr>
        <w:jc w:val="both"/>
      </w:pPr>
      <w:r>
        <w:t>Prepare journal entries (without narrations) to account for the redemption of the loyalty points and the cost of good exchanged for the years ended 31 December 20</w:t>
      </w:r>
      <w:r w:rsidR="00120EA0">
        <w:t>14</w:t>
      </w:r>
      <w:r>
        <w:t>, 31</w:t>
      </w:r>
      <w:r w:rsidRPr="0064450B">
        <w:rPr>
          <w:vertAlign w:val="superscript"/>
        </w:rPr>
        <w:t>st</w:t>
      </w:r>
      <w:r>
        <w:t xml:space="preserve"> December 201</w:t>
      </w:r>
      <w:r w:rsidR="002D0E55">
        <w:t>5</w:t>
      </w:r>
      <w:r>
        <w:t xml:space="preserve"> and 31 December 201</w:t>
      </w:r>
      <w:r w:rsidR="002D0E55">
        <w:t>6</w:t>
      </w:r>
      <w:r>
        <w:t>.</w:t>
      </w:r>
      <w:r>
        <w:tab/>
      </w:r>
      <w:r>
        <w:tab/>
      </w:r>
      <w:r>
        <w:tab/>
      </w:r>
    </w:p>
    <w:p w14:paraId="6128287E" w14:textId="77777777" w:rsidR="00207F13" w:rsidRDefault="00207F13" w:rsidP="00207F13"/>
    <w:p w14:paraId="5CA64928" w14:textId="77777777" w:rsidR="00207F13" w:rsidRPr="004F31A8" w:rsidRDefault="00207F13" w:rsidP="00207F13">
      <w:pPr>
        <w:jc w:val="both"/>
        <w:rPr>
          <w:b/>
          <w:lang w:val="en-US"/>
        </w:rPr>
      </w:pPr>
      <w:r>
        <w:rPr>
          <w:b/>
          <w:lang w:val="en-US"/>
        </w:rPr>
        <w:t>Part (b)</w:t>
      </w:r>
    </w:p>
    <w:p w14:paraId="72516622" w14:textId="77777777" w:rsidR="00207F13" w:rsidRDefault="00207F13" w:rsidP="002D0E55">
      <w:pPr>
        <w:jc w:val="both"/>
        <w:rPr>
          <w:lang w:val="en-US"/>
        </w:rPr>
      </w:pPr>
      <w:r>
        <w:rPr>
          <w:lang w:val="en-US"/>
        </w:rPr>
        <w:t>On 1 October 20</w:t>
      </w:r>
      <w:r w:rsidR="002D0E55">
        <w:rPr>
          <w:lang w:val="en-US"/>
        </w:rPr>
        <w:t>13</w:t>
      </w:r>
      <w:r>
        <w:rPr>
          <w:lang w:val="en-US"/>
        </w:rPr>
        <w:t>, Hamilton Motors Limited sold a motor vehicle for $24,018. The terms of the sale requires the purchaser to make three yearly payments of $10,000, the first one to be made on 30 September 20</w:t>
      </w:r>
      <w:r w:rsidR="002D0E55">
        <w:rPr>
          <w:lang w:val="en-US"/>
        </w:rPr>
        <w:t>14</w:t>
      </w:r>
      <w:r>
        <w:rPr>
          <w:lang w:val="en-US"/>
        </w:rPr>
        <w:t>. Hamilton Motors charges interest at the rate of 12% per annum on any outstanding balances of the sales price.</w:t>
      </w:r>
    </w:p>
    <w:p w14:paraId="37C8280E" w14:textId="77777777" w:rsidR="00207F13" w:rsidRDefault="00207F13" w:rsidP="00207F13">
      <w:pPr>
        <w:jc w:val="both"/>
        <w:rPr>
          <w:lang w:val="en-US"/>
        </w:rPr>
      </w:pPr>
    </w:p>
    <w:p w14:paraId="14B564C0" w14:textId="77777777" w:rsidR="00207F13" w:rsidRPr="00E019A5" w:rsidRDefault="00207F13" w:rsidP="00207F13">
      <w:pPr>
        <w:jc w:val="both"/>
        <w:rPr>
          <w:lang w:val="en-US"/>
        </w:rPr>
      </w:pPr>
      <w:r w:rsidRPr="00E019A5">
        <w:rPr>
          <w:lang w:val="en-US"/>
        </w:rPr>
        <w:t>Required:</w:t>
      </w:r>
    </w:p>
    <w:p w14:paraId="0DE6CE0E" w14:textId="77777777" w:rsidR="00207F13" w:rsidRDefault="00207F13" w:rsidP="00207F13">
      <w:pPr>
        <w:numPr>
          <w:ilvl w:val="0"/>
          <w:numId w:val="6"/>
        </w:numPr>
        <w:jc w:val="both"/>
        <w:rPr>
          <w:lang w:val="en-US"/>
        </w:rPr>
      </w:pPr>
      <w:r>
        <w:rPr>
          <w:lang w:val="en-US"/>
        </w:rPr>
        <w:t>NZIAS 18 provides the criteria for recognition of revenue in relation to the sale of goods. State the conditions that must be satisfied before revenue from sale of goods can be recognized.</w:t>
      </w:r>
      <w:r>
        <w:rPr>
          <w:lang w:val="en-US"/>
        </w:rPr>
        <w:tab/>
      </w:r>
      <w:r>
        <w:rPr>
          <w:lang w:val="en-US"/>
        </w:rPr>
        <w:tab/>
      </w:r>
      <w:r>
        <w:rPr>
          <w:lang w:val="en-US"/>
        </w:rPr>
        <w:tab/>
      </w:r>
      <w:r>
        <w:rPr>
          <w:lang w:val="en-US"/>
        </w:rPr>
        <w:tab/>
      </w:r>
      <w:r>
        <w:rPr>
          <w:lang w:val="en-US"/>
        </w:rPr>
        <w:tab/>
      </w:r>
      <w:r>
        <w:rPr>
          <w:lang w:val="en-US"/>
        </w:rPr>
        <w:tab/>
      </w:r>
    </w:p>
    <w:p w14:paraId="6A7B9A51" w14:textId="77777777" w:rsidR="00207F13" w:rsidRDefault="00207F13" w:rsidP="00207F13">
      <w:pPr>
        <w:jc w:val="both"/>
        <w:rPr>
          <w:lang w:val="en-US"/>
        </w:rPr>
      </w:pPr>
    </w:p>
    <w:p w14:paraId="22DC0E36" w14:textId="77777777" w:rsidR="00207F13" w:rsidRDefault="00207F13" w:rsidP="00207F13">
      <w:pPr>
        <w:numPr>
          <w:ilvl w:val="0"/>
          <w:numId w:val="6"/>
        </w:numPr>
        <w:jc w:val="both"/>
        <w:rPr>
          <w:lang w:val="en-US"/>
        </w:rPr>
      </w:pPr>
      <w:r>
        <w:rPr>
          <w:lang w:val="en-US"/>
        </w:rPr>
        <w:t>Prepare an amortization schedule to show the annual payments, interest revenue and principal amounts received by Hamilton Motors limited.</w:t>
      </w:r>
      <w:r>
        <w:rPr>
          <w:lang w:val="en-US"/>
        </w:rPr>
        <w:tab/>
      </w:r>
    </w:p>
    <w:p w14:paraId="6F19FFF6" w14:textId="77777777" w:rsidR="00207F13" w:rsidRDefault="00207F13" w:rsidP="00207F13">
      <w:pPr>
        <w:pStyle w:val="ListParagraph"/>
        <w:rPr>
          <w:lang w:val="en-US"/>
        </w:rPr>
      </w:pPr>
    </w:p>
    <w:p w14:paraId="537D721C" w14:textId="77777777" w:rsidR="00207F13" w:rsidRDefault="00207F13" w:rsidP="002D0E55">
      <w:pPr>
        <w:numPr>
          <w:ilvl w:val="0"/>
          <w:numId w:val="6"/>
        </w:numPr>
        <w:jc w:val="both"/>
        <w:rPr>
          <w:lang w:val="en-US"/>
        </w:rPr>
      </w:pPr>
      <w:r>
        <w:rPr>
          <w:lang w:val="en-US"/>
        </w:rPr>
        <w:t>Prepare general journal entries for Hamilton Motors for the years ended 30 September 20</w:t>
      </w:r>
      <w:r w:rsidR="002D0E55">
        <w:rPr>
          <w:lang w:val="en-US"/>
        </w:rPr>
        <w:t>14</w:t>
      </w:r>
      <w:r>
        <w:rPr>
          <w:lang w:val="en-US"/>
        </w:rPr>
        <w:t>, 30 September 20</w:t>
      </w:r>
      <w:r w:rsidR="002D0E55">
        <w:rPr>
          <w:lang w:val="en-US"/>
        </w:rPr>
        <w:t>15</w:t>
      </w:r>
      <w:r>
        <w:rPr>
          <w:lang w:val="en-US"/>
        </w:rPr>
        <w:t xml:space="preserve"> and 30 September 20</w:t>
      </w:r>
      <w:r w:rsidR="002D0E55">
        <w:rPr>
          <w:lang w:val="en-US"/>
        </w:rPr>
        <w:t>16</w:t>
      </w:r>
      <w:r>
        <w:rPr>
          <w:lang w:val="en-US"/>
        </w:rPr>
        <w:t xml:space="preserve"> using the net-interest method.</w:t>
      </w:r>
    </w:p>
    <w:p w14:paraId="0E8F6BD3" w14:textId="77777777" w:rsidR="00207F13" w:rsidRDefault="00207F13" w:rsidP="00207F13">
      <w:pPr>
        <w:ind w:left="720"/>
        <w:jc w:val="both"/>
      </w:pPr>
    </w:p>
    <w:p w14:paraId="473BC969" w14:textId="77777777" w:rsidR="00E9756F" w:rsidRDefault="00E9756F" w:rsidP="00E9756F">
      <w:pPr>
        <w:jc w:val="both"/>
        <w:rPr>
          <w:b/>
          <w:u w:val="single"/>
        </w:rPr>
      </w:pPr>
    </w:p>
    <w:p w14:paraId="5BAAAA88" w14:textId="77777777" w:rsidR="00E9756F" w:rsidRDefault="00E9756F" w:rsidP="00E9756F">
      <w:pPr>
        <w:jc w:val="both"/>
        <w:rPr>
          <w:b/>
          <w:u w:val="single"/>
        </w:rPr>
      </w:pPr>
    </w:p>
    <w:p w14:paraId="2F28345A" w14:textId="2C68B02F" w:rsidR="00207F13" w:rsidRPr="00207F13" w:rsidRDefault="00207F13" w:rsidP="00E9756F">
      <w:pPr>
        <w:jc w:val="both"/>
        <w:rPr>
          <w:b/>
          <w:u w:val="single"/>
        </w:rPr>
      </w:pPr>
      <w:r w:rsidRPr="00207F13">
        <w:rPr>
          <w:b/>
          <w:u w:val="single"/>
        </w:rPr>
        <w:lastRenderedPageBreak/>
        <w:t>Q 10</w:t>
      </w:r>
    </w:p>
    <w:p w14:paraId="346D2B1A" w14:textId="77777777" w:rsidR="00207F13" w:rsidRPr="00315F3B" w:rsidRDefault="00207F13" w:rsidP="00120EA0">
      <w:pPr>
        <w:jc w:val="both"/>
      </w:pPr>
      <w:r w:rsidRPr="00315F3B">
        <w:t>For the year ended 31</w:t>
      </w:r>
      <w:r w:rsidRPr="00315F3B">
        <w:rPr>
          <w:vertAlign w:val="superscript"/>
        </w:rPr>
        <w:t>st</w:t>
      </w:r>
      <w:r w:rsidRPr="00315F3B">
        <w:t xml:space="preserve"> December 20</w:t>
      </w:r>
      <w:r w:rsidR="00E14639">
        <w:t>16</w:t>
      </w:r>
      <w:r w:rsidRPr="00315F3B">
        <w:t xml:space="preserve">, Garage Stores made cash sales of electrical appliance for a value of $2,380,000. </w:t>
      </w:r>
      <w:r>
        <w:t xml:space="preserve">The cost of inventory sold was $1,785,000 (23,800 x $75). </w:t>
      </w:r>
      <w:r w:rsidRPr="00315F3B">
        <w:t>The sales were subject to a right of return clause by which customers are entitled to a full refund of the sales price if defective items purchased are returned to Garage Stores within 3 months of purchase. The sales are also subject to a warranty clause by which Garage Stores undertakes to repair any defective items if returned within a period of 6 months from date of sale. During the year ended 31</w:t>
      </w:r>
      <w:r w:rsidRPr="00315F3B">
        <w:rPr>
          <w:vertAlign w:val="superscript"/>
        </w:rPr>
        <w:t>st</w:t>
      </w:r>
      <w:r w:rsidRPr="00315F3B">
        <w:t xml:space="preserve"> December 20</w:t>
      </w:r>
      <w:r w:rsidR="00E14639">
        <w:t>16</w:t>
      </w:r>
      <w:r w:rsidRPr="00315F3B">
        <w:t>, Garage Stores made refunds of $45,000 and paid for repair costs of $22,000 for defective electrical appliances. As at 31</w:t>
      </w:r>
      <w:r w:rsidRPr="00315F3B">
        <w:rPr>
          <w:vertAlign w:val="superscript"/>
        </w:rPr>
        <w:t>st</w:t>
      </w:r>
      <w:r w:rsidRPr="00315F3B">
        <w:t xml:space="preserve"> December 20</w:t>
      </w:r>
      <w:r w:rsidR="00120EA0">
        <w:t>16</w:t>
      </w:r>
      <w:r w:rsidRPr="00315F3B">
        <w:t>, the right of return privilege for sales amounting to $1,950,000 had expired. The right of return privilege for the balance of sales made during the year ended 31</w:t>
      </w:r>
      <w:r w:rsidRPr="00315F3B">
        <w:rPr>
          <w:vertAlign w:val="superscript"/>
        </w:rPr>
        <w:t>st</w:t>
      </w:r>
      <w:r w:rsidRPr="00315F3B">
        <w:t xml:space="preserve"> December 20</w:t>
      </w:r>
      <w:r w:rsidR="00E14639">
        <w:t>16</w:t>
      </w:r>
      <w:r w:rsidRPr="00315F3B">
        <w:t xml:space="preserve"> is expected to expire in the following financial year. </w:t>
      </w:r>
    </w:p>
    <w:p w14:paraId="5B1B4615" w14:textId="77777777" w:rsidR="00207F13" w:rsidRPr="00315F3B" w:rsidRDefault="00207F13" w:rsidP="00207F13">
      <w:pPr>
        <w:jc w:val="both"/>
      </w:pPr>
    </w:p>
    <w:p w14:paraId="405C71F7" w14:textId="77777777" w:rsidR="00207F13" w:rsidRPr="00315F3B" w:rsidRDefault="00207F13" w:rsidP="00207F13">
      <w:pPr>
        <w:jc w:val="both"/>
      </w:pPr>
      <w:r w:rsidRPr="00315F3B">
        <w:t>Required:</w:t>
      </w:r>
    </w:p>
    <w:p w14:paraId="358CDE82" w14:textId="1AC9598B" w:rsidR="001F7412" w:rsidRDefault="00207F13" w:rsidP="00E9756F">
      <w:pPr>
        <w:jc w:val="both"/>
      </w:pPr>
      <w:r>
        <w:t>P</w:t>
      </w:r>
      <w:r w:rsidRPr="00315F3B">
        <w:t xml:space="preserve">repare journal entries in general journal form (with narrations) for the above transactions to account for sales, right of return, refunds and repair expenses </w:t>
      </w:r>
      <w:r>
        <w:t>and state how balances in allowance for right of return and right to recover accounts should be shown in the balance sheet. Assume s</w:t>
      </w:r>
      <w:r w:rsidRPr="00315F3B">
        <w:t>ales are only recorded after all right of return privileges have expired</w:t>
      </w:r>
      <w:r>
        <w:t>.</w:t>
      </w:r>
    </w:p>
    <w:p w14:paraId="397CF39A" w14:textId="77777777" w:rsidR="00E9756F" w:rsidRDefault="00E9756F" w:rsidP="00E9756F">
      <w:pPr>
        <w:jc w:val="both"/>
      </w:pPr>
    </w:p>
    <w:p w14:paraId="099A2713" w14:textId="77777777" w:rsidR="00E9756F" w:rsidRDefault="00E9756F" w:rsidP="00E9756F">
      <w:pPr>
        <w:jc w:val="both"/>
      </w:pPr>
    </w:p>
    <w:p w14:paraId="79D9CC5B" w14:textId="77777777" w:rsidR="00E9756F" w:rsidRDefault="00E9756F" w:rsidP="00E9756F">
      <w:pPr>
        <w:jc w:val="both"/>
      </w:pPr>
    </w:p>
    <w:p w14:paraId="3381B1B3" w14:textId="77777777" w:rsidR="00E9756F" w:rsidRDefault="00E9756F" w:rsidP="00E9756F">
      <w:pPr>
        <w:jc w:val="both"/>
      </w:pPr>
    </w:p>
    <w:p w14:paraId="118AF693" w14:textId="77777777" w:rsidR="00E9756F" w:rsidRDefault="00E9756F" w:rsidP="00E9756F">
      <w:pPr>
        <w:jc w:val="both"/>
      </w:pPr>
    </w:p>
    <w:p w14:paraId="1B221103" w14:textId="77777777" w:rsidR="00E9756F" w:rsidRDefault="00E9756F" w:rsidP="00E9756F">
      <w:pPr>
        <w:jc w:val="both"/>
      </w:pPr>
    </w:p>
    <w:p w14:paraId="04F36EFE" w14:textId="77777777" w:rsidR="00E9756F" w:rsidRDefault="00E9756F" w:rsidP="00E9756F">
      <w:pPr>
        <w:jc w:val="both"/>
      </w:pPr>
    </w:p>
    <w:p w14:paraId="09F5C405" w14:textId="77777777" w:rsidR="00E9756F" w:rsidRDefault="00E9756F" w:rsidP="00E9756F">
      <w:pPr>
        <w:jc w:val="both"/>
      </w:pPr>
    </w:p>
    <w:p w14:paraId="346D9AB5" w14:textId="77777777" w:rsidR="00E9756F" w:rsidRDefault="00E9756F" w:rsidP="00E9756F">
      <w:pPr>
        <w:jc w:val="both"/>
      </w:pPr>
    </w:p>
    <w:p w14:paraId="6BD4CFA4" w14:textId="77777777" w:rsidR="00E9756F" w:rsidRDefault="00E9756F" w:rsidP="00E9756F">
      <w:pPr>
        <w:jc w:val="both"/>
      </w:pPr>
    </w:p>
    <w:p w14:paraId="5E2EC821" w14:textId="77777777" w:rsidR="00E9756F" w:rsidRDefault="00E9756F" w:rsidP="00E9756F">
      <w:pPr>
        <w:jc w:val="both"/>
      </w:pPr>
    </w:p>
    <w:p w14:paraId="43C07613" w14:textId="77777777" w:rsidR="00E9756F" w:rsidRDefault="00E9756F" w:rsidP="00E9756F">
      <w:pPr>
        <w:jc w:val="both"/>
      </w:pPr>
    </w:p>
    <w:p w14:paraId="497E99CF" w14:textId="77777777" w:rsidR="00E9756F" w:rsidRDefault="00E9756F" w:rsidP="00E9756F">
      <w:pPr>
        <w:jc w:val="both"/>
      </w:pPr>
    </w:p>
    <w:p w14:paraId="18DF6B0D" w14:textId="77777777" w:rsidR="00E9756F" w:rsidRDefault="00E9756F" w:rsidP="00E9756F">
      <w:pPr>
        <w:jc w:val="both"/>
      </w:pPr>
    </w:p>
    <w:p w14:paraId="4E1A84D3" w14:textId="77777777" w:rsidR="00E9756F" w:rsidRDefault="00E9756F" w:rsidP="00E9756F">
      <w:pPr>
        <w:jc w:val="both"/>
      </w:pPr>
    </w:p>
    <w:p w14:paraId="6A6667D8" w14:textId="77777777" w:rsidR="00E9756F" w:rsidRDefault="00E9756F" w:rsidP="00E9756F">
      <w:pPr>
        <w:jc w:val="both"/>
      </w:pPr>
    </w:p>
    <w:p w14:paraId="75AAB776" w14:textId="77777777" w:rsidR="00E9756F" w:rsidRDefault="00E9756F" w:rsidP="00E9756F">
      <w:pPr>
        <w:jc w:val="both"/>
      </w:pPr>
    </w:p>
    <w:p w14:paraId="314D1C95" w14:textId="77777777" w:rsidR="00E9756F" w:rsidRDefault="00E9756F" w:rsidP="00E9756F">
      <w:pPr>
        <w:jc w:val="both"/>
      </w:pPr>
    </w:p>
    <w:p w14:paraId="764E5D90" w14:textId="77777777" w:rsidR="00E9756F" w:rsidRDefault="00E9756F" w:rsidP="00E9756F">
      <w:pPr>
        <w:jc w:val="both"/>
      </w:pPr>
    </w:p>
    <w:p w14:paraId="37684A8F" w14:textId="77777777" w:rsidR="00E9756F" w:rsidRDefault="00E9756F" w:rsidP="00E9756F">
      <w:pPr>
        <w:jc w:val="both"/>
      </w:pPr>
    </w:p>
    <w:p w14:paraId="3701237F" w14:textId="77777777" w:rsidR="00E9756F" w:rsidRDefault="00E9756F" w:rsidP="00E9756F">
      <w:pPr>
        <w:jc w:val="both"/>
      </w:pPr>
    </w:p>
    <w:p w14:paraId="41BB86EB" w14:textId="77777777" w:rsidR="00E9756F" w:rsidRDefault="00E9756F" w:rsidP="00E9756F">
      <w:pPr>
        <w:jc w:val="both"/>
      </w:pPr>
    </w:p>
    <w:p w14:paraId="5233BFA9" w14:textId="77777777" w:rsidR="00E9756F" w:rsidRDefault="00E9756F" w:rsidP="00E9756F">
      <w:pPr>
        <w:jc w:val="both"/>
      </w:pPr>
    </w:p>
    <w:p w14:paraId="264C8B84" w14:textId="77777777" w:rsidR="00E9756F" w:rsidRDefault="00E9756F" w:rsidP="00E9756F">
      <w:pPr>
        <w:jc w:val="both"/>
      </w:pPr>
    </w:p>
    <w:p w14:paraId="6191079D" w14:textId="77777777" w:rsidR="00E9756F" w:rsidRDefault="00E9756F" w:rsidP="00E9756F">
      <w:pPr>
        <w:jc w:val="both"/>
      </w:pPr>
    </w:p>
    <w:p w14:paraId="13DE08E0" w14:textId="77777777" w:rsidR="00E9756F" w:rsidRDefault="00E9756F" w:rsidP="00E9756F">
      <w:pPr>
        <w:jc w:val="both"/>
      </w:pPr>
    </w:p>
    <w:p w14:paraId="48072FFF" w14:textId="77777777" w:rsidR="00E9756F" w:rsidRDefault="00E9756F" w:rsidP="00E9756F">
      <w:pPr>
        <w:jc w:val="both"/>
      </w:pPr>
    </w:p>
    <w:p w14:paraId="56C9336F" w14:textId="77777777" w:rsidR="00E9756F" w:rsidRDefault="00E9756F" w:rsidP="00E9756F">
      <w:pPr>
        <w:jc w:val="both"/>
      </w:pPr>
    </w:p>
    <w:p w14:paraId="7FC71571" w14:textId="77777777" w:rsidR="00E9756F" w:rsidRDefault="00E9756F" w:rsidP="00E9756F">
      <w:pPr>
        <w:jc w:val="both"/>
      </w:pPr>
    </w:p>
    <w:p w14:paraId="138E9461" w14:textId="77777777" w:rsidR="00E9756F" w:rsidRDefault="00E9756F" w:rsidP="00E9756F">
      <w:pPr>
        <w:jc w:val="both"/>
      </w:pPr>
    </w:p>
    <w:p w14:paraId="5FDEF852" w14:textId="77777777" w:rsidR="00E9756F" w:rsidRDefault="00E9756F" w:rsidP="00E9756F">
      <w:pPr>
        <w:jc w:val="both"/>
      </w:pPr>
    </w:p>
    <w:p w14:paraId="07E94CA4" w14:textId="77777777" w:rsidR="00E9756F" w:rsidRDefault="00E9756F" w:rsidP="00E9756F">
      <w:pPr>
        <w:jc w:val="both"/>
      </w:pPr>
    </w:p>
    <w:p w14:paraId="73EA9DFA" w14:textId="537FBA44" w:rsidR="00E9756F" w:rsidRDefault="00E9756F" w:rsidP="00E9756F">
      <w:pPr>
        <w:jc w:val="both"/>
        <w:rPr>
          <w:b/>
          <w:bCs/>
          <w:u w:val="single"/>
          <w:lang w:val="en-US"/>
        </w:rPr>
      </w:pPr>
      <w:r w:rsidRPr="00747B2F">
        <w:rPr>
          <w:b/>
          <w:bCs/>
          <w:u w:val="single"/>
          <w:lang w:val="en-US"/>
        </w:rPr>
        <w:lastRenderedPageBreak/>
        <w:t>Q</w:t>
      </w:r>
      <w:r>
        <w:rPr>
          <w:b/>
          <w:bCs/>
          <w:u w:val="single"/>
          <w:lang w:val="en-US"/>
        </w:rPr>
        <w:t>11</w:t>
      </w:r>
    </w:p>
    <w:p w14:paraId="0ABB82CC" w14:textId="77777777" w:rsidR="00E9756F" w:rsidRDefault="00E9756F" w:rsidP="00E9756F">
      <w:pPr>
        <w:jc w:val="both"/>
      </w:pPr>
      <w:r>
        <w:t xml:space="preserve">Huntly </w:t>
      </w:r>
      <w:r w:rsidRPr="00C53BD0">
        <w:t xml:space="preserve">Development Limited commenced construction of a </w:t>
      </w:r>
      <w:r>
        <w:t xml:space="preserve">3-Storey Shopping Mall in Hamilton </w:t>
      </w:r>
      <w:r w:rsidRPr="00C53BD0">
        <w:t xml:space="preserve">on </w:t>
      </w:r>
      <w:r>
        <w:t>1</w:t>
      </w:r>
      <w:r w:rsidRPr="000F3EA0">
        <w:rPr>
          <w:vertAlign w:val="superscript"/>
        </w:rPr>
        <w:t>st</w:t>
      </w:r>
      <w:r>
        <w:t xml:space="preserve"> November </w:t>
      </w:r>
      <w:r w:rsidRPr="00C53BD0">
        <w:t>20</w:t>
      </w:r>
      <w:r>
        <w:t>13</w:t>
      </w:r>
      <w:r w:rsidRPr="00C53BD0">
        <w:t>. It signed a fixed contract for $</w:t>
      </w:r>
      <w:r>
        <w:t>25</w:t>
      </w:r>
      <w:r w:rsidRPr="00C53BD0">
        <w:t xml:space="preserve"> million and the project is to be completed by 3</w:t>
      </w:r>
      <w:r>
        <w:t>1</w:t>
      </w:r>
      <w:r w:rsidRPr="0073107F">
        <w:rPr>
          <w:vertAlign w:val="superscript"/>
        </w:rPr>
        <w:t>st</w:t>
      </w:r>
      <w:r>
        <w:t xml:space="preserve"> March </w:t>
      </w:r>
      <w:r w:rsidRPr="00C53BD0">
        <w:t>20</w:t>
      </w:r>
      <w:r>
        <w:t>17</w:t>
      </w:r>
      <w:r w:rsidRPr="00C53BD0">
        <w:t>.The expected cost of construction was $</w:t>
      </w:r>
      <w:r>
        <w:t>2</w:t>
      </w:r>
      <w:r w:rsidRPr="00C53BD0">
        <w:t>0 million</w:t>
      </w:r>
      <w:r>
        <w:t>. Th</w:t>
      </w:r>
      <w:r w:rsidRPr="00C53BD0">
        <w:t>e percentage of completion</w:t>
      </w:r>
      <w:r>
        <w:t xml:space="preserve">, costs and revenue </w:t>
      </w:r>
      <w:r w:rsidRPr="00C53BD0">
        <w:t xml:space="preserve">can be reliably estimated. </w:t>
      </w:r>
      <w:r>
        <w:t xml:space="preserve">Financial </w:t>
      </w:r>
      <w:r w:rsidRPr="00C53BD0">
        <w:t>details of the project for each of the years ending 3</w:t>
      </w:r>
      <w:r>
        <w:t>1</w:t>
      </w:r>
      <w:r w:rsidRPr="0073107F">
        <w:rPr>
          <w:vertAlign w:val="superscript"/>
        </w:rPr>
        <w:t>st</w:t>
      </w:r>
      <w:r>
        <w:t xml:space="preserve"> March are </w:t>
      </w:r>
      <w:r w:rsidRPr="00C53BD0">
        <w:t>as follows:</w:t>
      </w:r>
    </w:p>
    <w:p w14:paraId="56959311" w14:textId="77777777" w:rsidR="00E9756F" w:rsidRPr="00C53BD0" w:rsidRDefault="00E9756F" w:rsidP="00E9756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9"/>
        <w:gridCol w:w="1672"/>
        <w:gridCol w:w="1553"/>
        <w:gridCol w:w="1434"/>
        <w:gridCol w:w="1254"/>
      </w:tblGrid>
      <w:tr w:rsidR="00E9756F" w:rsidRPr="00C53BD0" w14:paraId="6A178633" w14:textId="77777777" w:rsidTr="00782673">
        <w:tc>
          <w:tcPr>
            <w:tcW w:w="3329" w:type="dxa"/>
          </w:tcPr>
          <w:p w14:paraId="4337CD8A" w14:textId="77777777" w:rsidR="00E9756F" w:rsidRPr="00C53BD0" w:rsidRDefault="00E9756F" w:rsidP="00782673">
            <w:pPr>
              <w:jc w:val="both"/>
              <w:rPr>
                <w:b/>
              </w:rPr>
            </w:pPr>
            <w:r w:rsidRPr="00C53BD0">
              <w:rPr>
                <w:b/>
              </w:rPr>
              <w:t>$ Million</w:t>
            </w:r>
          </w:p>
        </w:tc>
        <w:tc>
          <w:tcPr>
            <w:tcW w:w="1672" w:type="dxa"/>
          </w:tcPr>
          <w:p w14:paraId="4ED50338" w14:textId="77777777" w:rsidR="00E9756F" w:rsidRPr="00C53BD0" w:rsidRDefault="00E9756F" w:rsidP="00782673">
            <w:pPr>
              <w:jc w:val="both"/>
              <w:rPr>
                <w:b/>
              </w:rPr>
            </w:pPr>
            <w:r w:rsidRPr="00C53BD0">
              <w:rPr>
                <w:b/>
              </w:rPr>
              <w:t>20</w:t>
            </w:r>
            <w:r>
              <w:rPr>
                <w:b/>
              </w:rPr>
              <w:t>14</w:t>
            </w:r>
          </w:p>
        </w:tc>
        <w:tc>
          <w:tcPr>
            <w:tcW w:w="1553" w:type="dxa"/>
          </w:tcPr>
          <w:p w14:paraId="5CE95E3F" w14:textId="77777777" w:rsidR="00E9756F" w:rsidRPr="00C53BD0" w:rsidRDefault="00E9756F" w:rsidP="00782673">
            <w:pPr>
              <w:jc w:val="both"/>
              <w:rPr>
                <w:b/>
              </w:rPr>
            </w:pPr>
            <w:r w:rsidRPr="00C53BD0">
              <w:rPr>
                <w:b/>
              </w:rPr>
              <w:t>20</w:t>
            </w:r>
            <w:r>
              <w:rPr>
                <w:b/>
              </w:rPr>
              <w:t>15</w:t>
            </w:r>
          </w:p>
        </w:tc>
        <w:tc>
          <w:tcPr>
            <w:tcW w:w="1434" w:type="dxa"/>
          </w:tcPr>
          <w:p w14:paraId="7FD18E18" w14:textId="77777777" w:rsidR="00E9756F" w:rsidRPr="00C53BD0" w:rsidRDefault="00E9756F" w:rsidP="00782673">
            <w:pPr>
              <w:jc w:val="both"/>
              <w:rPr>
                <w:b/>
              </w:rPr>
            </w:pPr>
            <w:r w:rsidRPr="00C53BD0">
              <w:rPr>
                <w:b/>
              </w:rPr>
              <w:t>20</w:t>
            </w:r>
            <w:r>
              <w:rPr>
                <w:b/>
              </w:rPr>
              <w:t>16</w:t>
            </w:r>
          </w:p>
        </w:tc>
        <w:tc>
          <w:tcPr>
            <w:tcW w:w="1254" w:type="dxa"/>
          </w:tcPr>
          <w:p w14:paraId="25452E8C" w14:textId="77777777" w:rsidR="00E9756F" w:rsidRPr="00C53BD0" w:rsidRDefault="00E9756F" w:rsidP="00782673">
            <w:pPr>
              <w:jc w:val="both"/>
              <w:rPr>
                <w:b/>
              </w:rPr>
            </w:pPr>
            <w:r w:rsidRPr="00C53BD0">
              <w:rPr>
                <w:b/>
              </w:rPr>
              <w:t>20</w:t>
            </w:r>
            <w:r>
              <w:rPr>
                <w:b/>
              </w:rPr>
              <w:t>17</w:t>
            </w:r>
          </w:p>
        </w:tc>
      </w:tr>
      <w:tr w:rsidR="00E9756F" w:rsidRPr="00C53BD0" w14:paraId="02F2FA76" w14:textId="77777777" w:rsidTr="00782673">
        <w:tc>
          <w:tcPr>
            <w:tcW w:w="3329" w:type="dxa"/>
          </w:tcPr>
          <w:p w14:paraId="23844E76" w14:textId="77777777" w:rsidR="00E9756F" w:rsidRPr="00C53BD0" w:rsidRDefault="00E9756F" w:rsidP="00782673">
            <w:pPr>
              <w:jc w:val="both"/>
            </w:pPr>
            <w:r w:rsidRPr="00C53BD0">
              <w:t xml:space="preserve">Costs incurred for the year </w:t>
            </w:r>
          </w:p>
        </w:tc>
        <w:tc>
          <w:tcPr>
            <w:tcW w:w="1672" w:type="dxa"/>
          </w:tcPr>
          <w:p w14:paraId="25C2C8FB" w14:textId="77777777" w:rsidR="00E9756F" w:rsidRPr="00C53BD0" w:rsidRDefault="00E9756F" w:rsidP="00782673">
            <w:pPr>
              <w:jc w:val="both"/>
            </w:pPr>
            <w:r>
              <w:t>5</w:t>
            </w:r>
          </w:p>
        </w:tc>
        <w:tc>
          <w:tcPr>
            <w:tcW w:w="1553" w:type="dxa"/>
          </w:tcPr>
          <w:p w14:paraId="3CA4FCEE" w14:textId="77777777" w:rsidR="00E9756F" w:rsidRPr="00C53BD0" w:rsidRDefault="00E9756F" w:rsidP="00782673">
            <w:pPr>
              <w:jc w:val="both"/>
            </w:pPr>
            <w:r>
              <w:t>7.5</w:t>
            </w:r>
          </w:p>
        </w:tc>
        <w:tc>
          <w:tcPr>
            <w:tcW w:w="1434" w:type="dxa"/>
          </w:tcPr>
          <w:p w14:paraId="208815B2" w14:textId="77777777" w:rsidR="00E9756F" w:rsidRPr="00C53BD0" w:rsidRDefault="00E9756F" w:rsidP="00782673">
            <w:pPr>
              <w:jc w:val="both"/>
            </w:pPr>
            <w:r>
              <w:t>6</w:t>
            </w:r>
          </w:p>
        </w:tc>
        <w:tc>
          <w:tcPr>
            <w:tcW w:w="1254" w:type="dxa"/>
          </w:tcPr>
          <w:p w14:paraId="1FB52256" w14:textId="77777777" w:rsidR="00E9756F" w:rsidRPr="00C53BD0" w:rsidRDefault="00E9756F" w:rsidP="00782673">
            <w:pPr>
              <w:jc w:val="both"/>
            </w:pPr>
            <w:r>
              <w:t>8</w:t>
            </w:r>
          </w:p>
        </w:tc>
      </w:tr>
      <w:tr w:rsidR="00E9756F" w:rsidRPr="00C53BD0" w14:paraId="7DC7CC8A" w14:textId="77777777" w:rsidTr="00782673">
        <w:tc>
          <w:tcPr>
            <w:tcW w:w="3329" w:type="dxa"/>
          </w:tcPr>
          <w:p w14:paraId="3E7F43B4" w14:textId="77777777" w:rsidR="00E9756F" w:rsidRPr="00C53BD0" w:rsidRDefault="00E9756F" w:rsidP="00782673">
            <w:pPr>
              <w:jc w:val="both"/>
            </w:pPr>
            <w:r w:rsidRPr="00C53BD0">
              <w:t>Estimated costs to complete</w:t>
            </w:r>
          </w:p>
        </w:tc>
        <w:tc>
          <w:tcPr>
            <w:tcW w:w="1672" w:type="dxa"/>
          </w:tcPr>
          <w:p w14:paraId="33552B22" w14:textId="77777777" w:rsidR="00E9756F" w:rsidRPr="00C53BD0" w:rsidRDefault="00E9756F" w:rsidP="00782673">
            <w:pPr>
              <w:jc w:val="both"/>
            </w:pPr>
            <w:r>
              <w:t>15</w:t>
            </w:r>
          </w:p>
        </w:tc>
        <w:tc>
          <w:tcPr>
            <w:tcW w:w="1553" w:type="dxa"/>
          </w:tcPr>
          <w:p w14:paraId="6564808E" w14:textId="77777777" w:rsidR="00E9756F" w:rsidRPr="00C53BD0" w:rsidRDefault="00E9756F" w:rsidP="00782673">
            <w:pPr>
              <w:jc w:val="both"/>
            </w:pPr>
            <w:r>
              <w:t>8</w:t>
            </w:r>
          </w:p>
        </w:tc>
        <w:tc>
          <w:tcPr>
            <w:tcW w:w="1434" w:type="dxa"/>
          </w:tcPr>
          <w:p w14:paraId="5BA4B32E" w14:textId="77777777" w:rsidR="00E9756F" w:rsidRPr="00C53BD0" w:rsidRDefault="00E9756F" w:rsidP="00782673">
            <w:pPr>
              <w:jc w:val="both"/>
            </w:pPr>
            <w:r>
              <w:t>8</w:t>
            </w:r>
          </w:p>
        </w:tc>
        <w:tc>
          <w:tcPr>
            <w:tcW w:w="1254" w:type="dxa"/>
          </w:tcPr>
          <w:p w14:paraId="587AE59E" w14:textId="77777777" w:rsidR="00E9756F" w:rsidRPr="00C53BD0" w:rsidRDefault="00E9756F" w:rsidP="00782673">
            <w:pPr>
              <w:jc w:val="both"/>
            </w:pPr>
            <w:r w:rsidRPr="00C53BD0">
              <w:t>-</w:t>
            </w:r>
          </w:p>
        </w:tc>
      </w:tr>
      <w:tr w:rsidR="00E9756F" w:rsidRPr="00C53BD0" w14:paraId="50E19186" w14:textId="77777777" w:rsidTr="00782673">
        <w:tc>
          <w:tcPr>
            <w:tcW w:w="3329" w:type="dxa"/>
          </w:tcPr>
          <w:p w14:paraId="74FECAC8" w14:textId="77777777" w:rsidR="00E9756F" w:rsidRPr="00C53BD0" w:rsidRDefault="00E9756F" w:rsidP="00782673">
            <w:pPr>
              <w:jc w:val="both"/>
            </w:pPr>
            <w:r w:rsidRPr="00C53BD0">
              <w:t xml:space="preserve">Progress billings </w:t>
            </w:r>
            <w:r>
              <w:t xml:space="preserve">for </w:t>
            </w:r>
            <w:r w:rsidRPr="00C53BD0">
              <w:t>the year</w:t>
            </w:r>
          </w:p>
        </w:tc>
        <w:tc>
          <w:tcPr>
            <w:tcW w:w="1672" w:type="dxa"/>
          </w:tcPr>
          <w:p w14:paraId="6DB65636" w14:textId="77777777" w:rsidR="00E9756F" w:rsidRPr="00C53BD0" w:rsidRDefault="00E9756F" w:rsidP="00782673">
            <w:pPr>
              <w:jc w:val="both"/>
            </w:pPr>
            <w:r>
              <w:t>6</w:t>
            </w:r>
          </w:p>
        </w:tc>
        <w:tc>
          <w:tcPr>
            <w:tcW w:w="1553" w:type="dxa"/>
          </w:tcPr>
          <w:p w14:paraId="071643B1" w14:textId="77777777" w:rsidR="00E9756F" w:rsidRPr="00C53BD0" w:rsidRDefault="00E9756F" w:rsidP="00782673">
            <w:pPr>
              <w:jc w:val="both"/>
            </w:pPr>
            <w:r>
              <w:t>7.5</w:t>
            </w:r>
          </w:p>
        </w:tc>
        <w:tc>
          <w:tcPr>
            <w:tcW w:w="1434" w:type="dxa"/>
          </w:tcPr>
          <w:p w14:paraId="7C2F8A54" w14:textId="77777777" w:rsidR="00E9756F" w:rsidRPr="00C53BD0" w:rsidRDefault="00E9756F" w:rsidP="00782673">
            <w:pPr>
              <w:jc w:val="both"/>
            </w:pPr>
            <w:r>
              <w:t>6.5</w:t>
            </w:r>
          </w:p>
        </w:tc>
        <w:tc>
          <w:tcPr>
            <w:tcW w:w="1254" w:type="dxa"/>
          </w:tcPr>
          <w:p w14:paraId="46DABF16" w14:textId="77777777" w:rsidR="00E9756F" w:rsidRPr="00C53BD0" w:rsidRDefault="00E9756F" w:rsidP="00782673">
            <w:pPr>
              <w:jc w:val="both"/>
            </w:pPr>
            <w:r>
              <w:t>5</w:t>
            </w:r>
          </w:p>
        </w:tc>
      </w:tr>
      <w:tr w:rsidR="00E9756F" w:rsidRPr="00C53BD0" w14:paraId="6C62D72A" w14:textId="77777777" w:rsidTr="00782673">
        <w:tc>
          <w:tcPr>
            <w:tcW w:w="3329" w:type="dxa"/>
          </w:tcPr>
          <w:p w14:paraId="7898960C" w14:textId="77777777" w:rsidR="00E9756F" w:rsidRPr="00C53BD0" w:rsidRDefault="00E9756F" w:rsidP="00782673">
            <w:pPr>
              <w:jc w:val="both"/>
            </w:pPr>
            <w:r w:rsidRPr="00C53BD0">
              <w:t>Cash collected during the year</w:t>
            </w:r>
          </w:p>
        </w:tc>
        <w:tc>
          <w:tcPr>
            <w:tcW w:w="1672" w:type="dxa"/>
          </w:tcPr>
          <w:p w14:paraId="10C1386F" w14:textId="77777777" w:rsidR="00E9756F" w:rsidRPr="00C53BD0" w:rsidRDefault="00E9756F" w:rsidP="00782673">
            <w:pPr>
              <w:jc w:val="both"/>
            </w:pPr>
            <w:r>
              <w:t>4.5</w:t>
            </w:r>
          </w:p>
        </w:tc>
        <w:tc>
          <w:tcPr>
            <w:tcW w:w="1553" w:type="dxa"/>
          </w:tcPr>
          <w:p w14:paraId="5F9EA75B" w14:textId="77777777" w:rsidR="00E9756F" w:rsidRPr="00C53BD0" w:rsidRDefault="00E9756F" w:rsidP="00782673">
            <w:pPr>
              <w:jc w:val="both"/>
            </w:pPr>
            <w:r>
              <w:t>8</w:t>
            </w:r>
          </w:p>
        </w:tc>
        <w:tc>
          <w:tcPr>
            <w:tcW w:w="1434" w:type="dxa"/>
          </w:tcPr>
          <w:p w14:paraId="64872E44" w14:textId="77777777" w:rsidR="00E9756F" w:rsidRPr="00C53BD0" w:rsidRDefault="00E9756F" w:rsidP="00782673">
            <w:pPr>
              <w:jc w:val="both"/>
            </w:pPr>
            <w:r>
              <w:t>5</w:t>
            </w:r>
          </w:p>
        </w:tc>
        <w:tc>
          <w:tcPr>
            <w:tcW w:w="1254" w:type="dxa"/>
          </w:tcPr>
          <w:p w14:paraId="3106C93C" w14:textId="77777777" w:rsidR="00E9756F" w:rsidRPr="00C53BD0" w:rsidRDefault="00E9756F" w:rsidP="00782673">
            <w:pPr>
              <w:jc w:val="both"/>
            </w:pPr>
            <w:r>
              <w:t>3.5</w:t>
            </w:r>
          </w:p>
        </w:tc>
      </w:tr>
    </w:tbl>
    <w:p w14:paraId="26E55454" w14:textId="77777777" w:rsidR="00E9756F" w:rsidRDefault="00E9756F" w:rsidP="00E9756F">
      <w:pPr>
        <w:jc w:val="both"/>
        <w:rPr>
          <w:u w:val="single"/>
        </w:rPr>
      </w:pPr>
    </w:p>
    <w:p w14:paraId="46E0EDE9" w14:textId="77777777" w:rsidR="00E9756F" w:rsidRPr="008C0135" w:rsidRDefault="00E9756F" w:rsidP="00E9756F">
      <w:pPr>
        <w:jc w:val="both"/>
        <w:rPr>
          <w:u w:val="single"/>
        </w:rPr>
      </w:pPr>
      <w:r w:rsidRPr="008C0135">
        <w:rPr>
          <w:u w:val="single"/>
        </w:rPr>
        <w:t>Required;</w:t>
      </w:r>
    </w:p>
    <w:p w14:paraId="3E13E3DA" w14:textId="77777777" w:rsidR="00E9756F" w:rsidRDefault="00E9756F" w:rsidP="00E9756F">
      <w:pPr>
        <w:numPr>
          <w:ilvl w:val="0"/>
          <w:numId w:val="7"/>
        </w:numPr>
        <w:jc w:val="both"/>
      </w:pPr>
      <w:r w:rsidRPr="00302BAF">
        <w:t xml:space="preserve">Prepare a schedule </w:t>
      </w:r>
      <w:r>
        <w:t xml:space="preserve">to </w:t>
      </w:r>
      <w:r w:rsidRPr="00302BAF">
        <w:t xml:space="preserve">show the percentage of completion, revenue, expenses and gross profit for each of the years ending </w:t>
      </w:r>
      <w:r>
        <w:t>31</w:t>
      </w:r>
      <w:r w:rsidRPr="0073107F">
        <w:rPr>
          <w:vertAlign w:val="superscript"/>
        </w:rPr>
        <w:t>st</w:t>
      </w:r>
      <w:r>
        <w:t xml:space="preserve"> March 2014, 31</w:t>
      </w:r>
      <w:r w:rsidRPr="0073107F">
        <w:rPr>
          <w:vertAlign w:val="superscript"/>
        </w:rPr>
        <w:t>st</w:t>
      </w:r>
      <w:r>
        <w:t xml:space="preserve"> March 2015, 31</w:t>
      </w:r>
      <w:r w:rsidRPr="0073107F">
        <w:rPr>
          <w:vertAlign w:val="superscript"/>
        </w:rPr>
        <w:t>st</w:t>
      </w:r>
      <w:r>
        <w:t xml:space="preserve"> March 2016</w:t>
      </w:r>
    </w:p>
    <w:p w14:paraId="1C1904BB" w14:textId="77777777" w:rsidR="00E9756F" w:rsidRPr="00302BAF" w:rsidRDefault="00E9756F" w:rsidP="00E9756F">
      <w:pPr>
        <w:ind w:left="720"/>
        <w:jc w:val="both"/>
      </w:pPr>
      <w:r>
        <w:t>and 31</w:t>
      </w:r>
      <w:r w:rsidRPr="0073107F">
        <w:rPr>
          <w:vertAlign w:val="superscript"/>
        </w:rPr>
        <w:t>st</w:t>
      </w:r>
      <w:r>
        <w:t xml:space="preserve"> March 2017.</w:t>
      </w:r>
      <w:r>
        <w:tab/>
      </w:r>
      <w:r>
        <w:tab/>
      </w:r>
      <w:r>
        <w:tab/>
      </w:r>
      <w:r>
        <w:tab/>
      </w:r>
      <w:r>
        <w:tab/>
      </w:r>
      <w:r>
        <w:tab/>
      </w:r>
      <w:r>
        <w:tab/>
      </w:r>
      <w:r>
        <w:tab/>
      </w:r>
    </w:p>
    <w:p w14:paraId="06D727F2" w14:textId="77777777" w:rsidR="00E9756F" w:rsidRDefault="00E9756F" w:rsidP="00E9756F">
      <w:pPr>
        <w:numPr>
          <w:ilvl w:val="0"/>
          <w:numId w:val="7"/>
        </w:numPr>
        <w:jc w:val="both"/>
      </w:pPr>
      <w:r w:rsidRPr="00302BAF">
        <w:t xml:space="preserve">Prepare general journal entries to record </w:t>
      </w:r>
      <w:r>
        <w:t xml:space="preserve">all </w:t>
      </w:r>
      <w:r w:rsidRPr="00302BAF">
        <w:t xml:space="preserve">transactions related to the construction contracts for each of the years ending </w:t>
      </w:r>
      <w:r>
        <w:t>31</w:t>
      </w:r>
      <w:r w:rsidRPr="0073107F">
        <w:rPr>
          <w:vertAlign w:val="superscript"/>
        </w:rPr>
        <w:t>st</w:t>
      </w:r>
      <w:r>
        <w:t xml:space="preserve"> March 2014, 31</w:t>
      </w:r>
      <w:r w:rsidRPr="0073107F">
        <w:rPr>
          <w:vertAlign w:val="superscript"/>
        </w:rPr>
        <w:t>st</w:t>
      </w:r>
      <w:r>
        <w:t xml:space="preserve"> March 2015, 31</w:t>
      </w:r>
      <w:r w:rsidRPr="0073107F">
        <w:rPr>
          <w:vertAlign w:val="superscript"/>
        </w:rPr>
        <w:t>st</w:t>
      </w:r>
      <w:r>
        <w:t xml:space="preserve"> March 2016 and 31</w:t>
      </w:r>
      <w:r w:rsidRPr="0073107F">
        <w:rPr>
          <w:vertAlign w:val="superscript"/>
        </w:rPr>
        <w:t>st</w:t>
      </w:r>
      <w:r>
        <w:t xml:space="preserve"> March 2017.</w:t>
      </w:r>
      <w:r>
        <w:tab/>
        <w:t>.</w:t>
      </w:r>
      <w:r>
        <w:tab/>
      </w:r>
    </w:p>
    <w:p w14:paraId="07241043" w14:textId="77777777" w:rsidR="00E9756F" w:rsidRDefault="00E9756F" w:rsidP="00E9756F">
      <w:pPr>
        <w:numPr>
          <w:ilvl w:val="0"/>
          <w:numId w:val="7"/>
        </w:numPr>
        <w:jc w:val="both"/>
      </w:pPr>
      <w:r>
        <w:t>Prepare an extract of the Income Statement for the years ending (to show revenue and expenses related to the construction contract) and Balance Sheet as at (to show accounts receivable and contract asset/ contract liability) 31</w:t>
      </w:r>
      <w:r w:rsidRPr="0073107F">
        <w:rPr>
          <w:vertAlign w:val="superscript"/>
        </w:rPr>
        <w:t>st</w:t>
      </w:r>
      <w:r>
        <w:t xml:space="preserve"> March 2014, 31</w:t>
      </w:r>
      <w:r w:rsidRPr="0073107F">
        <w:rPr>
          <w:vertAlign w:val="superscript"/>
        </w:rPr>
        <w:t>st</w:t>
      </w:r>
      <w:r>
        <w:t xml:space="preserve"> March 2015, 31</w:t>
      </w:r>
      <w:r w:rsidRPr="0073107F">
        <w:rPr>
          <w:vertAlign w:val="superscript"/>
        </w:rPr>
        <w:t>st</w:t>
      </w:r>
      <w:r>
        <w:t xml:space="preserve"> March 2016 and 31</w:t>
      </w:r>
      <w:r w:rsidRPr="0073107F">
        <w:rPr>
          <w:vertAlign w:val="superscript"/>
        </w:rPr>
        <w:t>st</w:t>
      </w:r>
      <w:r>
        <w:t xml:space="preserve"> March 2017.</w:t>
      </w:r>
      <w:r>
        <w:tab/>
        <w:t xml:space="preserve"> </w:t>
      </w:r>
      <w:r>
        <w:tab/>
      </w:r>
      <w:r>
        <w:tab/>
      </w:r>
    </w:p>
    <w:p w14:paraId="0D90874D" w14:textId="77777777" w:rsidR="00E9756F" w:rsidRDefault="00E9756F" w:rsidP="00E9756F">
      <w:pPr>
        <w:jc w:val="both"/>
        <w:rPr>
          <w:b/>
          <w:bCs/>
          <w:u w:val="single"/>
        </w:rPr>
      </w:pPr>
    </w:p>
    <w:p w14:paraId="7CA347D8" w14:textId="064753CC" w:rsidR="00E9756F" w:rsidRDefault="00E9756F" w:rsidP="00E9756F">
      <w:pPr>
        <w:jc w:val="both"/>
        <w:rPr>
          <w:b/>
          <w:bCs/>
          <w:u w:val="single"/>
          <w:lang w:val="en-US"/>
        </w:rPr>
      </w:pPr>
      <w:bookmarkStart w:id="0" w:name="_GoBack"/>
      <w:bookmarkEnd w:id="0"/>
      <w:r w:rsidRPr="00747B2F">
        <w:rPr>
          <w:b/>
          <w:bCs/>
          <w:u w:val="single"/>
          <w:lang w:val="en-US"/>
        </w:rPr>
        <w:t>Q</w:t>
      </w:r>
      <w:r>
        <w:rPr>
          <w:b/>
          <w:bCs/>
          <w:u w:val="single"/>
          <w:lang w:val="en-US"/>
        </w:rPr>
        <w:t>12</w:t>
      </w:r>
    </w:p>
    <w:p w14:paraId="1F08367C" w14:textId="77777777" w:rsidR="00E9756F" w:rsidRDefault="00E9756F" w:rsidP="00E9756F">
      <w:pPr>
        <w:jc w:val="both"/>
      </w:pPr>
      <w:r w:rsidRPr="004A2074">
        <w:t xml:space="preserve">With reference to </w:t>
      </w:r>
      <w:r>
        <w:t xml:space="preserve">the relevant New Zealand Equivalent to International Accounting Standards (NZIAS), briefly describe the conditions that must be fulfilled before revenue from sale of goods can be recognised.  </w:t>
      </w:r>
    </w:p>
    <w:p w14:paraId="191F0732" w14:textId="77777777" w:rsidR="00E9756F" w:rsidRDefault="00E9756F" w:rsidP="00E9756F">
      <w:pPr>
        <w:jc w:val="both"/>
        <w:rPr>
          <w:b/>
          <w:bCs/>
          <w:u w:val="single"/>
        </w:rPr>
      </w:pPr>
    </w:p>
    <w:p w14:paraId="5663BBF7" w14:textId="77777777" w:rsidR="00E9756F" w:rsidRPr="0073107F" w:rsidRDefault="00E9756F" w:rsidP="00E9756F">
      <w:pPr>
        <w:jc w:val="both"/>
        <w:rPr>
          <w:b/>
          <w:bCs/>
          <w:u w:val="single"/>
        </w:rPr>
      </w:pPr>
    </w:p>
    <w:p w14:paraId="27892077" w14:textId="77777777" w:rsidR="00E9756F" w:rsidRDefault="00E9756F" w:rsidP="00E9756F">
      <w:pPr>
        <w:jc w:val="both"/>
      </w:pPr>
    </w:p>
    <w:sectPr w:rsidR="00E9756F" w:rsidSect="00AC3038">
      <w:headerReference w:type="default" r:id="rId7"/>
      <w:footerReference w:type="default" r:id="rId8"/>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2EA62" w14:textId="77777777" w:rsidR="00EF7A48" w:rsidRDefault="00EF7A48">
      <w:r>
        <w:separator/>
      </w:r>
    </w:p>
  </w:endnote>
  <w:endnote w:type="continuationSeparator" w:id="0">
    <w:p w14:paraId="35841E81" w14:textId="77777777" w:rsidR="00EF7A48" w:rsidRDefault="00EF7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53526" w14:textId="77777777" w:rsidR="00197F97" w:rsidRDefault="00341ACC">
    <w:pPr>
      <w:pStyle w:val="Footer"/>
      <w:jc w:val="center"/>
    </w:pPr>
    <w:r>
      <w:fldChar w:fldCharType="begin"/>
    </w:r>
    <w:r>
      <w:instrText xml:space="preserve"> PAGE   \* MERGEFORMAT </w:instrText>
    </w:r>
    <w:r>
      <w:fldChar w:fldCharType="separate"/>
    </w:r>
    <w:r w:rsidR="00E9756F">
      <w:rPr>
        <w:noProof/>
      </w:rPr>
      <w:t>3</w:t>
    </w:r>
    <w:r>
      <w:fldChar w:fldCharType="end"/>
    </w:r>
  </w:p>
  <w:p w14:paraId="78D4B556" w14:textId="77777777" w:rsidR="00197F97" w:rsidRDefault="00EF7A4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8938AA" w14:textId="77777777" w:rsidR="00EF7A48" w:rsidRDefault="00EF7A48">
      <w:r>
        <w:separator/>
      </w:r>
    </w:p>
  </w:footnote>
  <w:footnote w:type="continuationSeparator" w:id="0">
    <w:p w14:paraId="32BB2D1C" w14:textId="77777777" w:rsidR="00EF7A48" w:rsidRDefault="00EF7A4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43855" w14:textId="77777777" w:rsidR="00197F97" w:rsidRDefault="00341ACC">
    <w:pPr>
      <w:pStyle w:val="Header"/>
      <w:jc w:val="center"/>
    </w:pPr>
    <w:r>
      <w:fldChar w:fldCharType="begin"/>
    </w:r>
    <w:r>
      <w:instrText xml:space="preserve"> PAGE   \* MERGEFORMAT </w:instrText>
    </w:r>
    <w:r>
      <w:fldChar w:fldCharType="separate"/>
    </w:r>
    <w:r w:rsidR="00E9756F">
      <w:rPr>
        <w:noProof/>
      </w:rPr>
      <w:t>3</w:t>
    </w:r>
    <w:r>
      <w:fldChar w:fldCharType="end"/>
    </w:r>
  </w:p>
  <w:p w14:paraId="0E91DD0A" w14:textId="77777777" w:rsidR="00197F97" w:rsidRDefault="00EF7A4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66776C"/>
    <w:multiLevelType w:val="hybridMultilevel"/>
    <w:tmpl w:val="99DC38D8"/>
    <w:lvl w:ilvl="0" w:tplc="60FACE1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6763D84"/>
    <w:multiLevelType w:val="hybridMultilevel"/>
    <w:tmpl w:val="502AD28E"/>
    <w:lvl w:ilvl="0" w:tplc="31BEBCCC">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35B8231C"/>
    <w:multiLevelType w:val="hybridMultilevel"/>
    <w:tmpl w:val="57585392"/>
    <w:lvl w:ilvl="0" w:tplc="89AC23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770BA8"/>
    <w:multiLevelType w:val="hybridMultilevel"/>
    <w:tmpl w:val="B29476EC"/>
    <w:lvl w:ilvl="0" w:tplc="617C2DE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47430D9E"/>
    <w:multiLevelType w:val="hybridMultilevel"/>
    <w:tmpl w:val="2BF025DE"/>
    <w:lvl w:ilvl="0" w:tplc="1409001B">
      <w:start w:val="1"/>
      <w:numFmt w:val="lowerRoman"/>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72F90125"/>
    <w:multiLevelType w:val="hybridMultilevel"/>
    <w:tmpl w:val="26782ABE"/>
    <w:lvl w:ilvl="0" w:tplc="1409001B">
      <w:start w:val="1"/>
      <w:numFmt w:val="lowerRoman"/>
      <w:lvlText w:val="%1."/>
      <w:lvlJc w:val="righ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7FBC1247"/>
    <w:multiLevelType w:val="hybridMultilevel"/>
    <w:tmpl w:val="A678F4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ACC"/>
    <w:rsid w:val="00120EA0"/>
    <w:rsid w:val="001A2CA3"/>
    <w:rsid w:val="001B3C63"/>
    <w:rsid w:val="001B629C"/>
    <w:rsid w:val="001F7412"/>
    <w:rsid w:val="00207F13"/>
    <w:rsid w:val="002D0158"/>
    <w:rsid w:val="002D0E55"/>
    <w:rsid w:val="00341ACC"/>
    <w:rsid w:val="004E14B9"/>
    <w:rsid w:val="005424C4"/>
    <w:rsid w:val="0068581E"/>
    <w:rsid w:val="007E0ED5"/>
    <w:rsid w:val="008F6476"/>
    <w:rsid w:val="009B557A"/>
    <w:rsid w:val="009B5E45"/>
    <w:rsid w:val="00C00AB6"/>
    <w:rsid w:val="00E14639"/>
    <w:rsid w:val="00E9756F"/>
    <w:rsid w:val="00EF7A48"/>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68A8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41ACC"/>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1ACC"/>
    <w:pPr>
      <w:tabs>
        <w:tab w:val="center" w:pos="4513"/>
        <w:tab w:val="right" w:pos="9026"/>
      </w:tabs>
    </w:pPr>
  </w:style>
  <w:style w:type="character" w:customStyle="1" w:styleId="HeaderChar">
    <w:name w:val="Header Char"/>
    <w:basedOn w:val="DefaultParagraphFont"/>
    <w:link w:val="Header"/>
    <w:uiPriority w:val="99"/>
    <w:rsid w:val="00341ACC"/>
    <w:rPr>
      <w:rFonts w:ascii="Times New Roman" w:eastAsia="Times New Roman" w:hAnsi="Times New Roman" w:cs="Times New Roman"/>
      <w:sz w:val="24"/>
      <w:szCs w:val="24"/>
      <w:lang w:eastAsia="en-US"/>
    </w:rPr>
  </w:style>
  <w:style w:type="paragraph" w:styleId="Footer">
    <w:name w:val="footer"/>
    <w:basedOn w:val="Normal"/>
    <w:link w:val="FooterChar"/>
    <w:uiPriority w:val="99"/>
    <w:rsid w:val="00341ACC"/>
    <w:pPr>
      <w:tabs>
        <w:tab w:val="center" w:pos="4513"/>
        <w:tab w:val="right" w:pos="9026"/>
      </w:tabs>
    </w:pPr>
  </w:style>
  <w:style w:type="character" w:customStyle="1" w:styleId="FooterChar">
    <w:name w:val="Footer Char"/>
    <w:basedOn w:val="DefaultParagraphFont"/>
    <w:link w:val="Footer"/>
    <w:uiPriority w:val="99"/>
    <w:rsid w:val="00341ACC"/>
    <w:rPr>
      <w:rFonts w:ascii="Times New Roman" w:eastAsia="Times New Roman" w:hAnsi="Times New Roman" w:cs="Times New Roman"/>
      <w:sz w:val="24"/>
      <w:szCs w:val="24"/>
      <w:lang w:eastAsia="en-US"/>
    </w:rPr>
  </w:style>
  <w:style w:type="paragraph" w:styleId="BodyText2">
    <w:name w:val="Body Text 2"/>
    <w:basedOn w:val="Normal"/>
    <w:link w:val="BodyText2Char"/>
    <w:rsid w:val="00341ACC"/>
    <w:pPr>
      <w:tabs>
        <w:tab w:val="left" w:pos="1080"/>
        <w:tab w:val="left" w:pos="5130"/>
        <w:tab w:val="right" w:pos="6660"/>
        <w:tab w:val="right" w:pos="7650"/>
        <w:tab w:val="left" w:pos="7740"/>
        <w:tab w:val="right" w:pos="7920"/>
        <w:tab w:val="left" w:pos="8010"/>
        <w:tab w:val="right" w:pos="8100"/>
        <w:tab w:val="left" w:pos="8280"/>
        <w:tab w:val="left" w:pos="8460"/>
      </w:tabs>
      <w:spacing w:line="360" w:lineRule="atLeast"/>
      <w:ind w:left="709" w:hanging="630"/>
      <w:jc w:val="both"/>
    </w:pPr>
    <w:rPr>
      <w:sz w:val="20"/>
      <w:szCs w:val="20"/>
      <w:lang w:val="en-AU" w:eastAsia="en-AU"/>
    </w:rPr>
  </w:style>
  <w:style w:type="character" w:customStyle="1" w:styleId="BodyText2Char">
    <w:name w:val="Body Text 2 Char"/>
    <w:basedOn w:val="DefaultParagraphFont"/>
    <w:link w:val="BodyText2"/>
    <w:rsid w:val="00341ACC"/>
    <w:rPr>
      <w:rFonts w:ascii="Times New Roman" w:eastAsia="Times New Roman" w:hAnsi="Times New Roman" w:cs="Times New Roman"/>
      <w:sz w:val="20"/>
      <w:szCs w:val="20"/>
      <w:lang w:val="en-AU" w:eastAsia="en-AU"/>
    </w:rPr>
  </w:style>
  <w:style w:type="paragraph" w:customStyle="1" w:styleId="Default">
    <w:name w:val="Default"/>
    <w:rsid w:val="00207F1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stParagraph">
    <w:name w:val="List Paragraph"/>
    <w:basedOn w:val="Normal"/>
    <w:uiPriority w:val="34"/>
    <w:qFormat/>
    <w:rsid w:val="00207F13"/>
    <w:pPr>
      <w:ind w:left="72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820</Words>
  <Characters>4680</Characters>
  <Application>Microsoft Macintosh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5490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Murugesh Arunachalam</dc:creator>
  <cp:lastModifiedBy>ibrahim al-shareedah</cp:lastModifiedBy>
  <cp:revision>2</cp:revision>
  <dcterms:created xsi:type="dcterms:W3CDTF">2017-03-24T21:43:00Z</dcterms:created>
  <dcterms:modified xsi:type="dcterms:W3CDTF">2017-03-24T21:43:00Z</dcterms:modified>
</cp:coreProperties>
</file>