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F1" w:rsidRPr="00133DDB" w:rsidRDefault="005226F1" w:rsidP="005226F1">
      <w:pPr>
        <w:pStyle w:val="Heading1"/>
      </w:pPr>
      <w:bookmarkStart w:id="0" w:name="_GoBack"/>
      <w:bookmarkEnd w:id="0"/>
      <w:r>
        <w:t xml:space="preserve">IBM SPSS </w:t>
      </w:r>
      <w:r w:rsidRPr="001B3805">
        <w:t>Step-</w:t>
      </w:r>
      <w:r>
        <w:t>b</w:t>
      </w:r>
      <w:r w:rsidRPr="001B3805">
        <w:t xml:space="preserve">y-Step Guide: </w:t>
      </w:r>
      <w:r>
        <w:t>One-Way ANOVA</w:t>
      </w:r>
    </w:p>
    <w:p w:rsidR="005226F1" w:rsidRPr="009A3E1E" w:rsidRDefault="005226F1" w:rsidP="005226F1">
      <w:pPr>
        <w:pStyle w:val="BodyText"/>
      </w:pPr>
      <w:r w:rsidRPr="009A3E1E">
        <w:rPr>
          <w:b/>
        </w:rPr>
        <w:t>Note:</w:t>
      </w:r>
      <w:r w:rsidRPr="009A3E1E">
        <w:t xml:space="preserve"> This guide is an example of creating ANOVA output in SPSS with the grades.sav file. The variables shown in this guide do not correspond with the actual variables assigned in </w:t>
      </w:r>
      <w:r w:rsidR="00926D88">
        <w:t xml:space="preserve">Assessment </w:t>
      </w:r>
      <w:r w:rsidR="00710484">
        <w:t>4</w:t>
      </w:r>
      <w:r w:rsidRPr="009A3E1E">
        <w:t>. Carefully follow the instructions in the assignment for a list of assigned variables. Screen shots were created with SPSS 21.0.</w:t>
      </w:r>
    </w:p>
    <w:p w:rsidR="005226F1" w:rsidRPr="00914386" w:rsidRDefault="00C15D6D" w:rsidP="00914386">
      <w:pPr>
        <w:pStyle w:val="Heading2"/>
      </w:pPr>
      <w:r>
        <w:t>Creating</w:t>
      </w:r>
      <w:r w:rsidR="005226F1" w:rsidRPr="00914386">
        <w:t xml:space="preserve"> One-Way ANOVA</w:t>
      </w:r>
      <w:r>
        <w:t xml:space="preserve"> Output</w:t>
      </w:r>
    </w:p>
    <w:p w:rsidR="00914386" w:rsidRPr="0013225C" w:rsidRDefault="00914386" w:rsidP="00914386">
      <w:pPr>
        <w:pStyle w:val="BodyText"/>
      </w:pPr>
      <w:r>
        <w:t xml:space="preserve">To complete Section 2 of the DAA for </w:t>
      </w:r>
      <w:r w:rsidR="00710484">
        <w:t>Assessment 4</w:t>
      </w:r>
      <w:r>
        <w:t>, you will generate SPSS output for a histogram, descriptive statistics, and the Shapiro-Wilk test, which are covered in previous step-by-step guides. The Levene test (homogeneity of variance) is covered in the steps below.</w:t>
      </w:r>
    </w:p>
    <w:p w:rsidR="005226F1" w:rsidRPr="00CC39C1" w:rsidRDefault="005226F1" w:rsidP="005226F1">
      <w:pPr>
        <w:pStyle w:val="BodyText"/>
      </w:pPr>
      <w:r>
        <w:t xml:space="preserve">Refer to the </w:t>
      </w:r>
      <w:r w:rsidR="00710484">
        <w:t>Assessment 4</w:t>
      </w:r>
      <w:r>
        <w:t xml:space="preserve"> instructions for a list of assigned variables. The </w:t>
      </w:r>
      <w:r w:rsidRPr="00B103F7">
        <w:t>example</w:t>
      </w:r>
      <w:r>
        <w:rPr>
          <w:b/>
        </w:rPr>
        <w:t xml:space="preserve"> </w:t>
      </w:r>
      <w:r w:rsidR="00914386">
        <w:t xml:space="preserve">variables </w:t>
      </w:r>
      <w:r w:rsidR="00914386" w:rsidRPr="00914386">
        <w:rPr>
          <w:b/>
        </w:rPr>
        <w:t>year</w:t>
      </w:r>
      <w:r>
        <w:t xml:space="preserve"> and</w:t>
      </w:r>
      <w:r w:rsidR="00914386">
        <w:t xml:space="preserve"> </w:t>
      </w:r>
      <w:r w:rsidR="00914386" w:rsidRPr="00914386">
        <w:rPr>
          <w:b/>
        </w:rPr>
        <w:t>final</w:t>
      </w:r>
      <w:r>
        <w:t xml:space="preserve"> are shown below.</w:t>
      </w:r>
    </w:p>
    <w:p w:rsidR="005226F1" w:rsidRDefault="005226F1" w:rsidP="005226F1">
      <w:pPr>
        <w:pStyle w:val="BodyText"/>
      </w:pPr>
      <w:r w:rsidRPr="00A04942">
        <w:rPr>
          <w:b/>
        </w:rPr>
        <w:t>Step 1</w:t>
      </w:r>
      <w:r>
        <w:rPr>
          <w:b/>
        </w:rPr>
        <w:t>.</w:t>
      </w:r>
      <w:r>
        <w:t xml:space="preserve"> Open grades.sav in SPSS.</w:t>
      </w:r>
    </w:p>
    <w:p w:rsidR="005226F1" w:rsidRPr="001B3805" w:rsidRDefault="00FA64CC" w:rsidP="00B103F7">
      <w:pPr>
        <w:pStyle w:val="BodyText"/>
      </w:pPr>
      <w:r>
        <w:rPr>
          <w:noProof/>
        </w:rPr>
        <w:drawing>
          <wp:inline distT="0" distB="0" distL="0" distR="0">
            <wp:extent cx="6507480" cy="3479165"/>
            <wp:effectExtent l="0" t="0" r="7620" b="6985"/>
            <wp:docPr id="9" name="Picture 1" descr="Screenshot of SPSS showing Open Data dialog box with grades.sav selected in the File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of SPSS showing Open Data dialog box with grades.sav selected in the File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E8" w:rsidRDefault="00FF2873" w:rsidP="00B103F7">
      <w:pPr>
        <w:pStyle w:val="BodyText"/>
      </w:pPr>
      <w:r>
        <w:rPr>
          <w:b/>
        </w:rPr>
        <w:br w:type="page"/>
      </w:r>
      <w:r w:rsidR="00914386" w:rsidRPr="00B103F7">
        <w:rPr>
          <w:b/>
        </w:rPr>
        <w:lastRenderedPageBreak/>
        <w:t xml:space="preserve">Step 2. </w:t>
      </w:r>
      <w:r w:rsidR="00914386" w:rsidRPr="00914386">
        <w:t xml:space="preserve">On the </w:t>
      </w:r>
      <w:r w:rsidR="00914386" w:rsidRPr="00B103F7">
        <w:rPr>
          <w:b/>
          <w:u w:val="single"/>
        </w:rPr>
        <w:t>A</w:t>
      </w:r>
      <w:r w:rsidR="00914386" w:rsidRPr="00B103F7">
        <w:rPr>
          <w:b/>
        </w:rPr>
        <w:t>nalyze</w:t>
      </w:r>
      <w:r w:rsidR="00914386" w:rsidRPr="00914386">
        <w:t xml:space="preserve"> menu, point to </w:t>
      </w:r>
      <w:r w:rsidR="00914386" w:rsidRPr="00B103F7">
        <w:rPr>
          <w:b/>
        </w:rPr>
        <w:t>Co</w:t>
      </w:r>
      <w:r w:rsidR="00914386" w:rsidRPr="00B103F7">
        <w:rPr>
          <w:b/>
          <w:u w:val="single"/>
        </w:rPr>
        <w:t>m</w:t>
      </w:r>
      <w:r w:rsidR="00914386" w:rsidRPr="00B103F7">
        <w:rPr>
          <w:b/>
        </w:rPr>
        <w:t>pare Means</w:t>
      </w:r>
      <w:r w:rsidR="00914386" w:rsidRPr="00914386">
        <w:t xml:space="preserve"> and click </w:t>
      </w:r>
      <w:r w:rsidR="00914386" w:rsidRPr="00B103F7">
        <w:rPr>
          <w:b/>
          <w:u w:val="single"/>
        </w:rPr>
        <w:t>O</w:t>
      </w:r>
      <w:r w:rsidR="00914386" w:rsidRPr="00B103F7">
        <w:rPr>
          <w:b/>
        </w:rPr>
        <w:t>ne-Way ANOVA…</w:t>
      </w:r>
    </w:p>
    <w:p w:rsidR="00BD5CE8" w:rsidRDefault="00FA64CC" w:rsidP="00BD5CE8">
      <w:pPr>
        <w:pStyle w:val="BodyTex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717290" cy="1899920"/>
            <wp:effectExtent l="0" t="0" r="0" b="5080"/>
            <wp:docPr id="7" name="Picture 291" descr="Screen shot of the Analyze menu with Compare Means and One-Way ANOVA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Screen shot of the Analyze menu with Compare Means and One-Way ANOVA selected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86" w:rsidRDefault="00914386" w:rsidP="00914386">
      <w:pPr>
        <w:pStyle w:val="BodyText"/>
      </w:pPr>
      <w:r w:rsidRPr="00042110">
        <w:rPr>
          <w:b/>
        </w:rPr>
        <w:t>Step 3.</w:t>
      </w:r>
      <w:r>
        <w:t xml:space="preserve"> In the </w:t>
      </w:r>
      <w:r w:rsidR="00BD5CE8" w:rsidRPr="00914386">
        <w:rPr>
          <w:b/>
        </w:rPr>
        <w:t>One-Way ANOVA</w:t>
      </w:r>
      <w:r w:rsidR="00BD5CE8">
        <w:t xml:space="preserve"> </w:t>
      </w:r>
      <w:r>
        <w:t>dialog box:</w:t>
      </w:r>
    </w:p>
    <w:p w:rsidR="00914386" w:rsidRPr="00065136" w:rsidRDefault="00914386" w:rsidP="00065136">
      <w:pPr>
        <w:pStyle w:val="stylebulleted"/>
      </w:pPr>
      <w:r w:rsidRPr="00065136">
        <w:t>M</w:t>
      </w:r>
      <w:r w:rsidR="00BD5CE8" w:rsidRPr="00065136">
        <w:t xml:space="preserve">ove the </w:t>
      </w:r>
      <w:r w:rsidRPr="00065136">
        <w:t xml:space="preserve">assigned </w:t>
      </w:r>
      <w:r w:rsidR="00BD5CE8" w:rsidRPr="00065136">
        <w:t xml:space="preserve">dependent variable into the </w:t>
      </w:r>
      <w:r w:rsidR="00BD5CE8" w:rsidRPr="00065136">
        <w:rPr>
          <w:b/>
        </w:rPr>
        <w:t>D</w:t>
      </w:r>
      <w:r w:rsidR="00BD5CE8" w:rsidRPr="00042110">
        <w:rPr>
          <w:b/>
          <w:u w:val="single"/>
        </w:rPr>
        <w:t>e</w:t>
      </w:r>
      <w:r w:rsidR="00BD5CE8" w:rsidRPr="00065136">
        <w:rPr>
          <w:b/>
        </w:rPr>
        <w:t>pendent List</w:t>
      </w:r>
      <w:r w:rsidR="00BD5CE8" w:rsidRPr="00065136">
        <w:t xml:space="preserve"> </w:t>
      </w:r>
      <w:r w:rsidRPr="00065136">
        <w:t>box</w:t>
      </w:r>
      <w:r w:rsidR="00BD5CE8" w:rsidRPr="00065136">
        <w:t xml:space="preserve">. </w:t>
      </w:r>
    </w:p>
    <w:p w:rsidR="00914386" w:rsidRPr="00065136" w:rsidRDefault="00BD5CE8" w:rsidP="00065136">
      <w:pPr>
        <w:pStyle w:val="stylebulleted"/>
      </w:pPr>
      <w:r w:rsidRPr="00065136">
        <w:t xml:space="preserve">Move the assigned </w:t>
      </w:r>
      <w:r w:rsidR="00914386" w:rsidRPr="00065136">
        <w:t>i</w:t>
      </w:r>
      <w:r w:rsidRPr="00065136">
        <w:t>ndependent variable in</w:t>
      </w:r>
      <w:r w:rsidR="003D6C37">
        <w:t>to</w:t>
      </w:r>
      <w:r w:rsidRPr="00065136">
        <w:t xml:space="preserve"> the </w:t>
      </w:r>
      <w:r w:rsidRPr="00042110">
        <w:rPr>
          <w:b/>
          <w:u w:val="single"/>
        </w:rPr>
        <w:t>F</w:t>
      </w:r>
      <w:r w:rsidRPr="00065136">
        <w:rPr>
          <w:b/>
        </w:rPr>
        <w:t>actor</w:t>
      </w:r>
      <w:r w:rsidR="00914386" w:rsidRPr="00065136">
        <w:t xml:space="preserve"> </w:t>
      </w:r>
      <w:r w:rsidR="00065136">
        <w:t>box</w:t>
      </w:r>
      <w:r w:rsidR="00914386" w:rsidRPr="00065136">
        <w:t xml:space="preserve">. The examples of </w:t>
      </w:r>
      <w:r w:rsidR="00914386" w:rsidRPr="00065136">
        <w:rPr>
          <w:b/>
        </w:rPr>
        <w:t>final</w:t>
      </w:r>
      <w:r w:rsidR="00914386" w:rsidRPr="00065136">
        <w:t xml:space="preserve"> and </w:t>
      </w:r>
      <w:r w:rsidR="00914386" w:rsidRPr="00065136">
        <w:rPr>
          <w:b/>
        </w:rPr>
        <w:t>year</w:t>
      </w:r>
      <w:r w:rsidRPr="00065136">
        <w:t xml:space="preserve"> are shown below. </w:t>
      </w:r>
    </w:p>
    <w:p w:rsidR="00BD5CE8" w:rsidRDefault="00FA64CC" w:rsidP="00914386">
      <w:pPr>
        <w:pStyle w:val="BodyText"/>
        <w:jc w:val="center"/>
      </w:pPr>
      <w:r>
        <w:rPr>
          <w:noProof/>
        </w:rPr>
        <w:drawing>
          <wp:inline distT="0" distB="0" distL="0" distR="0">
            <wp:extent cx="3776345" cy="2125980"/>
            <wp:effectExtent l="0" t="0" r="0" b="7620"/>
            <wp:docPr id="3" name="Picture 292" descr="Screenshot of One-Way ANOVE window with &quot;final&quot; in Dependent List box and Year in school [year] in Factor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reenshot of One-Way ANOVE window with &quot;final&quot; in Dependent List box and Year in school [year] in Factor box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136" w:rsidRDefault="00065136" w:rsidP="00065136">
      <w:pPr>
        <w:pStyle w:val="stylebulleted"/>
      </w:pPr>
      <w:r>
        <w:t xml:space="preserve">Click the </w:t>
      </w:r>
      <w:r w:rsidRPr="00065136">
        <w:rPr>
          <w:b/>
        </w:rPr>
        <w:t>Options</w:t>
      </w:r>
      <w:r>
        <w:t xml:space="preserve"> button.</w:t>
      </w:r>
    </w:p>
    <w:p w:rsidR="00042110" w:rsidRDefault="00FF2873" w:rsidP="00042110">
      <w:pPr>
        <w:pStyle w:val="BodyText"/>
      </w:pPr>
      <w:r>
        <w:rPr>
          <w:b/>
        </w:rPr>
        <w:br w:type="page"/>
      </w:r>
      <w:r w:rsidR="00042110" w:rsidRPr="00042110">
        <w:rPr>
          <w:b/>
        </w:rPr>
        <w:lastRenderedPageBreak/>
        <w:t>Step 4.</w:t>
      </w:r>
      <w:r w:rsidR="00042110">
        <w:t xml:space="preserve"> </w:t>
      </w:r>
      <w:r w:rsidR="00065136">
        <w:t xml:space="preserve">In the </w:t>
      </w:r>
      <w:r w:rsidR="00065136" w:rsidRPr="00042110">
        <w:rPr>
          <w:b/>
        </w:rPr>
        <w:t>One-Way ANOVA: Options</w:t>
      </w:r>
      <w:r w:rsidR="00042110">
        <w:t xml:space="preserve"> dialog box:</w:t>
      </w:r>
    </w:p>
    <w:p w:rsidR="00042110" w:rsidRDefault="00042110" w:rsidP="00042110">
      <w:pPr>
        <w:pStyle w:val="stylebulleted"/>
      </w:pPr>
      <w:r>
        <w:t>S</w:t>
      </w:r>
      <w:r w:rsidR="00065136">
        <w:t xml:space="preserve">elect </w:t>
      </w:r>
      <w:r w:rsidR="00065136" w:rsidRPr="00FF2873">
        <w:rPr>
          <w:b/>
          <w:u w:val="single"/>
        </w:rPr>
        <w:t>H</w:t>
      </w:r>
      <w:r w:rsidR="00065136" w:rsidRPr="00065136">
        <w:rPr>
          <w:b/>
        </w:rPr>
        <w:t>omogeneity of variance test</w:t>
      </w:r>
      <w:r>
        <w:t xml:space="preserve"> (for</w:t>
      </w:r>
      <w:r w:rsidR="00065136">
        <w:t xml:space="preserve"> the </w:t>
      </w:r>
      <w:r w:rsidR="00BD5CE8">
        <w:t>Levene test</w:t>
      </w:r>
      <w:r>
        <w:t xml:space="preserve"> for Section 2 of the DAA</w:t>
      </w:r>
      <w:r w:rsidR="00BD5CE8">
        <w:t>)</w:t>
      </w:r>
      <w:r>
        <w:t>.</w:t>
      </w:r>
    </w:p>
    <w:p w:rsidR="00042110" w:rsidRDefault="00042110" w:rsidP="00042110">
      <w:pPr>
        <w:pStyle w:val="stylebulleted"/>
      </w:pPr>
      <w:r>
        <w:t xml:space="preserve">Select </w:t>
      </w:r>
      <w:r w:rsidRPr="00FF2873">
        <w:rPr>
          <w:b/>
          <w:u w:val="single"/>
        </w:rPr>
        <w:t>D</w:t>
      </w:r>
      <w:r w:rsidRPr="00042110">
        <w:rPr>
          <w:b/>
        </w:rPr>
        <w:t>escriptive</w:t>
      </w:r>
      <w:r>
        <w:t xml:space="preserve"> and </w:t>
      </w:r>
      <w:r w:rsidRPr="00FF2873">
        <w:rPr>
          <w:b/>
          <w:u w:val="single"/>
        </w:rPr>
        <w:t>M</w:t>
      </w:r>
      <w:r w:rsidRPr="00042110">
        <w:rPr>
          <w:b/>
        </w:rPr>
        <w:t>eans Plot</w:t>
      </w:r>
      <w:r w:rsidR="00BD5CE8">
        <w:t xml:space="preserve"> </w:t>
      </w:r>
      <w:r>
        <w:t>(</w:t>
      </w:r>
      <w:r w:rsidR="00BD5CE8">
        <w:t>for Section 4 of the DAA</w:t>
      </w:r>
      <w:r>
        <w:t>)</w:t>
      </w:r>
      <w:r w:rsidR="00BD5CE8">
        <w:t xml:space="preserve">. </w:t>
      </w:r>
    </w:p>
    <w:p w:rsidR="00BD5CE8" w:rsidRDefault="00042110" w:rsidP="00042110">
      <w:pPr>
        <w:pStyle w:val="stylebulleted"/>
      </w:pPr>
      <w:r>
        <w:t>Click</w:t>
      </w:r>
      <w:r w:rsidR="00BD5CE8">
        <w:t xml:space="preserve"> </w:t>
      </w:r>
      <w:r w:rsidR="00BD5CE8" w:rsidRPr="00042110">
        <w:rPr>
          <w:b/>
        </w:rPr>
        <w:t>Continue</w:t>
      </w:r>
      <w:r w:rsidR="00BD5CE8">
        <w:t>.</w:t>
      </w:r>
    </w:p>
    <w:p w:rsidR="00BD5CE8" w:rsidRDefault="00FA64CC" w:rsidP="00BD5CE8">
      <w:pPr>
        <w:pStyle w:val="BodyTex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697990" cy="2149475"/>
            <wp:effectExtent l="0" t="0" r="0" b="3175"/>
            <wp:docPr id="4" name="Picture 295" descr="One-Way ANOVA: Options pop-up window. In Statistics box, Descriptive is checked and Homogeneity of variance test is checked. Means plot is checked. In the Missing Values box, Exclude cases analysis by analysis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One-Way ANOVA: Options pop-up window. In Statistics box, Descriptive is checked and Homogeneity of variance test is checked. Means plot is checked. In the Missing Values box, Exclude cases analysis by analysis is selected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10" w:rsidRDefault="00042110" w:rsidP="00042110">
      <w:pPr>
        <w:pStyle w:val="stylebulleted"/>
      </w:pPr>
      <w:r>
        <w:t xml:space="preserve">Return to the </w:t>
      </w:r>
      <w:r w:rsidRPr="00914386">
        <w:rPr>
          <w:b/>
        </w:rPr>
        <w:t>One-Way ANOVA</w:t>
      </w:r>
      <w:r>
        <w:t xml:space="preserve"> dialog box and s</w:t>
      </w:r>
      <w:r w:rsidR="004C6F43">
        <w:t xml:space="preserve">elect the </w:t>
      </w:r>
      <w:r w:rsidR="004C6F43" w:rsidRPr="00042110">
        <w:rPr>
          <w:b/>
        </w:rPr>
        <w:t>Post</w:t>
      </w:r>
      <w:r>
        <w:rPr>
          <w:b/>
        </w:rPr>
        <w:t xml:space="preserve"> </w:t>
      </w:r>
      <w:r w:rsidR="004C6F43" w:rsidRPr="00042110">
        <w:rPr>
          <w:b/>
          <w:u w:val="single"/>
        </w:rPr>
        <w:t>H</w:t>
      </w:r>
      <w:r w:rsidR="004C6F43" w:rsidRPr="00042110">
        <w:rPr>
          <w:b/>
        </w:rPr>
        <w:t xml:space="preserve">oc </w:t>
      </w:r>
      <w:r w:rsidR="004C6F43" w:rsidRPr="00042110">
        <w:t>button</w:t>
      </w:r>
      <w:r>
        <w:t>.</w:t>
      </w:r>
    </w:p>
    <w:p w:rsidR="00042110" w:rsidRDefault="00042110" w:rsidP="00042110">
      <w:pPr>
        <w:pStyle w:val="BodyText"/>
      </w:pPr>
      <w:r w:rsidRPr="00042110">
        <w:rPr>
          <w:b/>
        </w:rPr>
        <w:t>Step 5.</w:t>
      </w:r>
      <w:r>
        <w:t xml:space="preserve"> In the </w:t>
      </w:r>
      <w:r w:rsidRPr="00042110">
        <w:rPr>
          <w:b/>
        </w:rPr>
        <w:t>One-Way ANOVA: Post Hoc Multiple Compariso</w:t>
      </w:r>
      <w:r>
        <w:rPr>
          <w:b/>
        </w:rPr>
        <w:t>ns</w:t>
      </w:r>
      <w:r>
        <w:t xml:space="preserve"> dialog box:</w:t>
      </w:r>
    </w:p>
    <w:p w:rsidR="00042110" w:rsidRDefault="00042110" w:rsidP="00042110">
      <w:pPr>
        <w:pStyle w:val="stylebulleted"/>
      </w:pPr>
      <w:r>
        <w:t xml:space="preserve">Check </w:t>
      </w:r>
      <w:r w:rsidR="004C6F43">
        <w:t xml:space="preserve">the </w:t>
      </w:r>
      <w:r w:rsidR="004C6F43" w:rsidRPr="00FF2873">
        <w:rPr>
          <w:b/>
          <w:u w:val="single"/>
        </w:rPr>
        <w:t>T</w:t>
      </w:r>
      <w:r w:rsidR="004C6F43" w:rsidRPr="00042110">
        <w:rPr>
          <w:b/>
        </w:rPr>
        <w:t>ukey</w:t>
      </w:r>
      <w:r w:rsidR="004C6F43">
        <w:t xml:space="preserve"> option for multiple comparisons. </w:t>
      </w:r>
    </w:p>
    <w:p w:rsidR="004C6F43" w:rsidRDefault="00042110" w:rsidP="00042110">
      <w:pPr>
        <w:pStyle w:val="stylebulleted"/>
      </w:pPr>
      <w:r>
        <w:t>Click</w:t>
      </w:r>
      <w:r w:rsidR="004C6F43">
        <w:t xml:space="preserve"> </w:t>
      </w:r>
      <w:r w:rsidR="004C6F43" w:rsidRPr="00042110">
        <w:rPr>
          <w:b/>
        </w:rPr>
        <w:t>Continue</w:t>
      </w:r>
      <w:r w:rsidR="004C6F43">
        <w:t xml:space="preserve"> and </w:t>
      </w:r>
      <w:r w:rsidR="004C6F43" w:rsidRPr="00042110">
        <w:rPr>
          <w:b/>
        </w:rPr>
        <w:t>OK</w:t>
      </w:r>
      <w:r w:rsidR="004C6F43">
        <w:t>.</w:t>
      </w:r>
    </w:p>
    <w:p w:rsidR="00AA5F6C" w:rsidRDefault="00FA64CC" w:rsidP="004C6F43">
      <w:pPr>
        <w:pStyle w:val="BodyTex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23485" cy="3301365"/>
            <wp:effectExtent l="0" t="0" r="5715" b="0"/>
            <wp:docPr id="5" name="Picture 297" descr="Screenshot of One-Way ANOVA: Post Hoc Multiple Comparisons window. Inside Equal Variances Assumed box, the Tukey box is check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Screenshot of One-Way ANOVA: Post Hoc Multiple Comparisons window. Inside Equal Variances Assumed box, the Tukey box is checked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6D" w:rsidRPr="00C15D6D" w:rsidRDefault="00FF2873" w:rsidP="00C15D6D">
      <w:pPr>
        <w:pStyle w:val="Heading2"/>
      </w:pPr>
      <w:r>
        <w:br w:type="page"/>
      </w:r>
      <w:r w:rsidR="00C15D6D">
        <w:lastRenderedPageBreak/>
        <w:t xml:space="preserve">Interpreting </w:t>
      </w:r>
      <w:r w:rsidR="0096594A">
        <w:t xml:space="preserve">One-Way </w:t>
      </w:r>
      <w:r w:rsidR="00C15D6D">
        <w:t>ANOVA Output</w:t>
      </w:r>
    </w:p>
    <w:p w:rsidR="00B103F7" w:rsidRDefault="004C6F43" w:rsidP="004C6F43">
      <w:pPr>
        <w:pStyle w:val="BodyText"/>
      </w:pPr>
      <w:r>
        <w:t xml:space="preserve">A string of ANOVA output will appear in SPSS. </w:t>
      </w:r>
      <w:r w:rsidR="00FF2873">
        <w:t xml:space="preserve">(The output below is for the example variable </w:t>
      </w:r>
      <w:r w:rsidR="00FF2873" w:rsidRPr="00B103F7">
        <w:rPr>
          <w:b/>
        </w:rPr>
        <w:t>final</w:t>
      </w:r>
      <w:r w:rsidR="00FF2873">
        <w:t>.)</w:t>
      </w:r>
    </w:p>
    <w:p w:rsidR="00FF2873" w:rsidRDefault="00FF2873" w:rsidP="00FF2873">
      <w:pPr>
        <w:pStyle w:val="BodyText"/>
      </w:pPr>
      <w:r w:rsidRPr="0096594A">
        <w:rPr>
          <w:b/>
        </w:rPr>
        <w:t>Step 1.</w:t>
      </w:r>
      <w:r>
        <w:t xml:space="preserve"> Copy the Levene test output from SPSS and paste it into Section 2 of the DAA Template. Then interpret it for the homogeneity of variance assumption.</w:t>
      </w:r>
      <w:r w:rsidRPr="00B103F7">
        <w:t xml:space="preserve"> </w:t>
      </w:r>
    </w:p>
    <w:p w:rsidR="00FF2873" w:rsidRDefault="00FF2873" w:rsidP="004C6F43">
      <w:pPr>
        <w:pStyle w:val="BodyText"/>
      </w:pPr>
    </w:p>
    <w:tbl>
      <w:tblPr>
        <w:tblW w:w="45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5"/>
        <w:gridCol w:w="1026"/>
        <w:gridCol w:w="1026"/>
        <w:gridCol w:w="1026"/>
      </w:tblGrid>
      <w:tr w:rsidR="00B103F7" w:rsidRPr="00234B5A" w:rsidTr="0096594A">
        <w:trPr>
          <w:cantSplit/>
          <w:jc w:val="center"/>
        </w:trPr>
        <w:tc>
          <w:tcPr>
            <w:tcW w:w="4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B103F7" w:rsidRPr="00234B5A" w:rsidTr="0096594A">
        <w:trPr>
          <w:cantSplit/>
          <w:jc w:val="center"/>
        </w:trPr>
        <w:tc>
          <w:tcPr>
            <w:tcW w:w="4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sz w:val="24"/>
              </w:rPr>
            </w:pPr>
            <w:r w:rsidRPr="00234B5A">
              <w:rPr>
                <w:rFonts w:cs="Arial"/>
                <w:color w:val="000000"/>
                <w:sz w:val="18"/>
                <w:szCs w:val="18"/>
                <w:highlight w:val="white"/>
              </w:rPr>
              <w:t xml:space="preserve">final  </w:t>
            </w:r>
          </w:p>
        </w:tc>
      </w:tr>
      <w:tr w:rsidR="00B103F7" w:rsidRPr="00234B5A" w:rsidTr="0096594A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Sig.</w:t>
            </w:r>
          </w:p>
        </w:tc>
      </w:tr>
      <w:tr w:rsidR="00B103F7" w:rsidRPr="00234B5A" w:rsidTr="0096594A">
        <w:trPr>
          <w:cantSplit/>
          <w:jc w:val="center"/>
        </w:trPr>
        <w:tc>
          <w:tcPr>
            <w:tcW w:w="14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103F7" w:rsidRPr="00234B5A" w:rsidRDefault="00B103F7" w:rsidP="0096594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.462</w:t>
            </w:r>
          </w:p>
        </w:tc>
      </w:tr>
    </w:tbl>
    <w:p w:rsidR="004C6F43" w:rsidRDefault="0096594A" w:rsidP="0096594A">
      <w:pPr>
        <w:pStyle w:val="BodyText"/>
      </w:pPr>
      <w:r w:rsidRPr="00FF2873">
        <w:rPr>
          <w:b/>
        </w:rPr>
        <w:t>Step 2.</w:t>
      </w:r>
      <w:r>
        <w:t xml:space="preserve"> C</w:t>
      </w:r>
      <w:r w:rsidR="004C6F43">
        <w:t xml:space="preserve">opy </w:t>
      </w:r>
      <w:r w:rsidR="00C15D6D">
        <w:t xml:space="preserve">the </w:t>
      </w:r>
      <w:r w:rsidR="00FF2873">
        <w:t>means plot</w:t>
      </w:r>
      <w:r w:rsidR="00C15D6D">
        <w:t xml:space="preserve">, </w:t>
      </w:r>
      <w:r w:rsidR="004C6F43">
        <w:t xml:space="preserve">paste </w:t>
      </w:r>
      <w:r w:rsidR="00C15D6D">
        <w:t xml:space="preserve">it </w:t>
      </w:r>
      <w:r w:rsidR="004C6F43">
        <w:t xml:space="preserve">into Section 4 </w:t>
      </w:r>
      <w:r w:rsidR="00C15D6D">
        <w:t xml:space="preserve">of the DAA Template, </w:t>
      </w:r>
      <w:r w:rsidR="004C6F43">
        <w:t>and interpret it.</w:t>
      </w:r>
    </w:p>
    <w:p w:rsidR="004C6F43" w:rsidRPr="00B739A6" w:rsidRDefault="00FA64CC" w:rsidP="004C6F43">
      <w:pPr>
        <w:pStyle w:val="BodyTex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41675" cy="2588895"/>
            <wp:effectExtent l="0" t="0" r="0" b="1905"/>
            <wp:docPr id="6" name="Picture 298" descr="Means plot of result to be copied and pasted into DAA Templ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Means plot of result to be copied and pasted into DAA Templat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F43" w:rsidRDefault="0096594A" w:rsidP="0096594A">
      <w:pPr>
        <w:pStyle w:val="BodyText"/>
      </w:pPr>
      <w:r w:rsidRPr="00FF2873">
        <w:rPr>
          <w:b/>
        </w:rPr>
        <w:t>Step 3.</w:t>
      </w:r>
      <w:r>
        <w:t xml:space="preserve"> Copy</w:t>
      </w:r>
      <w:r w:rsidR="00C15D6D">
        <w:t xml:space="preserve"> the </w:t>
      </w:r>
      <w:r w:rsidR="00FF2873">
        <w:t xml:space="preserve">descriptives </w:t>
      </w:r>
      <w:r w:rsidR="00C15D6D">
        <w:t xml:space="preserve">output. Paste it into </w:t>
      </w:r>
      <w:r w:rsidR="004C6F43">
        <w:t>Section 4 along with the report of means and standard deviations of the dependent variable at each level of the independent variable.</w:t>
      </w:r>
    </w:p>
    <w:tbl>
      <w:tblPr>
        <w:tblW w:w="9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19"/>
        <w:gridCol w:w="919"/>
        <w:gridCol w:w="1296"/>
        <w:gridCol w:w="961"/>
        <w:gridCol w:w="1338"/>
        <w:gridCol w:w="1338"/>
        <w:gridCol w:w="961"/>
        <w:gridCol w:w="989"/>
      </w:tblGrid>
      <w:tr w:rsidR="004C6F43" w:rsidRPr="00234B5A" w:rsidTr="00954687">
        <w:trPr>
          <w:cantSplit/>
          <w:trHeight w:val="327"/>
        </w:trPr>
        <w:tc>
          <w:tcPr>
            <w:tcW w:w="9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b/>
                <w:bCs/>
                <w:color w:val="000000"/>
                <w:sz w:val="18"/>
                <w:szCs w:val="18"/>
              </w:rPr>
              <w:t>Descriptives</w:t>
            </w:r>
          </w:p>
        </w:tc>
      </w:tr>
      <w:tr w:rsidR="004C6F43" w:rsidRPr="00234B5A" w:rsidTr="00954687">
        <w:trPr>
          <w:cantSplit/>
          <w:trHeight w:val="343"/>
        </w:trPr>
        <w:tc>
          <w:tcPr>
            <w:tcW w:w="9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sz w:val="24"/>
              </w:rPr>
            </w:pPr>
            <w:r w:rsidRPr="00234B5A">
              <w:rPr>
                <w:rFonts w:cs="Arial"/>
                <w:color w:val="000000"/>
                <w:sz w:val="18"/>
                <w:szCs w:val="18"/>
                <w:highlight w:val="white"/>
              </w:rPr>
              <w:t xml:space="preserve">final  </w:t>
            </w:r>
          </w:p>
        </w:tc>
      </w:tr>
      <w:tr w:rsidR="004C6F43" w:rsidRPr="00234B5A" w:rsidTr="00954687">
        <w:trPr>
          <w:cantSplit/>
          <w:trHeight w:val="327"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1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1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9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96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267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96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98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Maximum</w:t>
            </w:r>
          </w:p>
        </w:tc>
      </w:tr>
      <w:tr w:rsidR="004C6F43" w:rsidRPr="00234B5A" w:rsidTr="00954687">
        <w:trPr>
          <w:cantSplit/>
          <w:trHeight w:val="150"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38" w:type="dxa"/>
            <w:tcBorders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96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C6F43" w:rsidRPr="00234B5A" w:rsidTr="00954687">
        <w:trPr>
          <w:cantSplit/>
          <w:trHeight w:val="327"/>
        </w:trPr>
        <w:tc>
          <w:tcPr>
            <w:tcW w:w="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Frosh</w:t>
            </w:r>
          </w:p>
        </w:tc>
        <w:tc>
          <w:tcPr>
            <w:tcW w:w="9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59.33</w:t>
            </w:r>
          </w:p>
        </w:tc>
        <w:tc>
          <w:tcPr>
            <w:tcW w:w="12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5.859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44.78</w:t>
            </w:r>
          </w:p>
        </w:tc>
        <w:tc>
          <w:tcPr>
            <w:tcW w:w="13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73.89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66</w:t>
            </w:r>
          </w:p>
        </w:tc>
      </w:tr>
      <w:tr w:rsidR="004C6F43" w:rsidRPr="00234B5A" w:rsidTr="00954687">
        <w:trPr>
          <w:cantSplit/>
          <w:trHeight w:val="327"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9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62.42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6.628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59.23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65.62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</w:tr>
      <w:tr w:rsidR="004C6F43" w:rsidRPr="00234B5A" w:rsidTr="00954687">
        <w:trPr>
          <w:cantSplit/>
          <w:trHeight w:val="327"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9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61.47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8.478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59.35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63.59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75</w:t>
            </w:r>
          </w:p>
        </w:tc>
      </w:tr>
      <w:tr w:rsidR="004C6F43" w:rsidRPr="00234B5A" w:rsidTr="00954687">
        <w:trPr>
          <w:cantSplit/>
          <w:trHeight w:val="343"/>
        </w:trPr>
        <w:tc>
          <w:tcPr>
            <w:tcW w:w="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9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9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60.89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7.951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1.824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57.06</w:t>
            </w:r>
          </w:p>
        </w:tc>
        <w:tc>
          <w:tcPr>
            <w:tcW w:w="1338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64.73</w:t>
            </w:r>
          </w:p>
        </w:tc>
        <w:tc>
          <w:tcPr>
            <w:tcW w:w="961" w:type="dxa"/>
            <w:tcBorders>
              <w:top w:val="nil"/>
              <w:bottom w:val="nil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74</w:t>
            </w:r>
          </w:p>
        </w:tc>
      </w:tr>
      <w:tr w:rsidR="004C6F43" w:rsidRPr="00234B5A" w:rsidTr="00954687">
        <w:trPr>
          <w:cantSplit/>
          <w:trHeight w:val="343"/>
        </w:trPr>
        <w:tc>
          <w:tcPr>
            <w:tcW w:w="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61.48</w:t>
            </w:r>
          </w:p>
        </w:tc>
        <w:tc>
          <w:tcPr>
            <w:tcW w:w="12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7.943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13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59.94</w:t>
            </w:r>
          </w:p>
        </w:tc>
        <w:tc>
          <w:tcPr>
            <w:tcW w:w="13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63.01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234B5A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234B5A">
              <w:rPr>
                <w:rFonts w:cs="Arial"/>
                <w:color w:val="000000"/>
                <w:sz w:val="18"/>
                <w:szCs w:val="18"/>
              </w:rPr>
              <w:t>75</w:t>
            </w:r>
          </w:p>
        </w:tc>
      </w:tr>
    </w:tbl>
    <w:p w:rsidR="004C6F43" w:rsidRDefault="00FF2873" w:rsidP="00FF2873">
      <w:r>
        <w:rPr>
          <w:b/>
        </w:rPr>
        <w:br w:type="page"/>
      </w:r>
      <w:r w:rsidR="0096594A" w:rsidRPr="00FF2873">
        <w:rPr>
          <w:b/>
        </w:rPr>
        <w:lastRenderedPageBreak/>
        <w:t>Step 4.</w:t>
      </w:r>
      <w:r w:rsidR="0096594A">
        <w:t xml:space="preserve"> Copy</w:t>
      </w:r>
      <w:r w:rsidR="00C15D6D">
        <w:t xml:space="preserve"> the ANOVA output, paste it</w:t>
      </w:r>
      <w:r w:rsidR="004C6F43">
        <w:t xml:space="preserve"> into Section 4</w:t>
      </w:r>
      <w:r w:rsidR="00C15D6D">
        <w:t>, and interpret it</w:t>
      </w:r>
      <w:r w:rsidR="004C6F43">
        <w:t>.</w:t>
      </w:r>
    </w:p>
    <w:tbl>
      <w:tblPr>
        <w:tblW w:w="75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469"/>
        <w:gridCol w:w="1009"/>
        <w:gridCol w:w="1393"/>
        <w:gridCol w:w="1009"/>
        <w:gridCol w:w="1009"/>
      </w:tblGrid>
      <w:tr w:rsidR="004C6F43" w:rsidRPr="003569E7" w:rsidTr="004C6F43">
        <w:trPr>
          <w:cantSplit/>
          <w:jc w:val="center"/>
        </w:trPr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4C6F43" w:rsidRPr="003569E7" w:rsidTr="004C6F43">
        <w:trPr>
          <w:cantSplit/>
          <w:jc w:val="center"/>
        </w:trPr>
        <w:tc>
          <w:tcPr>
            <w:tcW w:w="7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sz w:val="24"/>
              </w:rPr>
            </w:pPr>
            <w:r w:rsidRPr="003569E7">
              <w:rPr>
                <w:rFonts w:cs="Arial"/>
                <w:color w:val="000000"/>
                <w:sz w:val="18"/>
                <w:szCs w:val="18"/>
                <w:highlight w:val="white"/>
              </w:rPr>
              <w:t xml:space="preserve">final  </w:t>
            </w:r>
          </w:p>
        </w:tc>
      </w:tr>
      <w:tr w:rsidR="004C6F43" w:rsidRPr="003569E7" w:rsidTr="004C6F43">
        <w:trPr>
          <w:cantSplit/>
          <w:jc w:val="center"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Sig.</w:t>
            </w:r>
          </w:p>
        </w:tc>
      </w:tr>
      <w:tr w:rsidR="004C6F43" w:rsidRPr="003569E7" w:rsidTr="004C6F43">
        <w:trPr>
          <w:cantSplit/>
          <w:jc w:val="center"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37.165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12.388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.192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.902</w:t>
            </w:r>
          </w:p>
        </w:tc>
      </w:tr>
      <w:tr w:rsidR="004C6F43" w:rsidRPr="003569E7" w:rsidTr="004C6F43">
        <w:trPr>
          <w:cantSplit/>
          <w:jc w:val="center"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6525.025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92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64.604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4C6F43" w:rsidRPr="003569E7" w:rsidTr="004C6F43">
        <w:trPr>
          <w:cantSplit/>
          <w:jc w:val="center"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6562.190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:rsidR="004C6F43" w:rsidRDefault="0096594A" w:rsidP="0096594A">
      <w:pPr>
        <w:pStyle w:val="BodyText"/>
      </w:pPr>
      <w:r w:rsidRPr="00FF2873">
        <w:rPr>
          <w:b/>
        </w:rPr>
        <w:t>Step 5.</w:t>
      </w:r>
      <w:r>
        <w:t xml:space="preserve"> </w:t>
      </w:r>
      <w:r w:rsidR="004C6F43">
        <w:t xml:space="preserve">Finally, if the overall ANOVA is significant, </w:t>
      </w:r>
      <w:r w:rsidR="00C15D6D">
        <w:t>copy</w:t>
      </w:r>
      <w:r w:rsidR="00B103F7">
        <w:t xml:space="preserve"> </w:t>
      </w:r>
      <w:r w:rsidR="00E6359D">
        <w:t xml:space="preserve">the post </w:t>
      </w:r>
      <w:r w:rsidR="00B103F7">
        <w:t>hoc output</w:t>
      </w:r>
      <w:r w:rsidR="00C15D6D">
        <w:t>, paste it</w:t>
      </w:r>
      <w:r w:rsidR="00B103F7">
        <w:t xml:space="preserve"> </w:t>
      </w:r>
      <w:r w:rsidR="004C6F43">
        <w:t>into Section 4</w:t>
      </w:r>
      <w:r w:rsidR="00C15D6D">
        <w:t>,</w:t>
      </w:r>
      <w:r w:rsidR="004C6F43">
        <w:t xml:space="preserve"> and </w:t>
      </w:r>
      <w:r w:rsidR="00B103F7">
        <w:t>interpret it</w:t>
      </w:r>
      <w:r w:rsidR="004C6F43">
        <w:t>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706"/>
        <w:gridCol w:w="1450"/>
        <w:gridCol w:w="1041"/>
        <w:gridCol w:w="996"/>
        <w:gridCol w:w="1374"/>
        <w:gridCol w:w="1374"/>
      </w:tblGrid>
      <w:tr w:rsidR="004C6F43" w:rsidRPr="003569E7" w:rsidTr="00954687">
        <w:trPr>
          <w:cantSplit/>
          <w:trHeight w:val="21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b/>
                <w:bCs/>
                <w:color w:val="000000"/>
                <w:sz w:val="18"/>
                <w:szCs w:val="18"/>
              </w:rPr>
              <w:t>Multiple Comparisons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sz w:val="24"/>
              </w:rPr>
            </w:pPr>
            <w:r w:rsidRPr="003569E7">
              <w:rPr>
                <w:rFonts w:cs="Arial"/>
                <w:color w:val="000000"/>
                <w:sz w:val="18"/>
                <w:szCs w:val="18"/>
                <w:highlight w:val="white"/>
              </w:rPr>
              <w:t xml:space="preserve">Dependent Variable:   final  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sz w:val="24"/>
              </w:rPr>
            </w:pPr>
            <w:r w:rsidRPr="003569E7">
              <w:rPr>
                <w:rFonts w:cs="Arial"/>
                <w:color w:val="000000"/>
                <w:sz w:val="18"/>
                <w:szCs w:val="18"/>
                <w:highlight w:val="white"/>
              </w:rPr>
              <w:t xml:space="preserve">Tukey HSD  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16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(I) Year in school</w:t>
            </w:r>
          </w:p>
        </w:tc>
        <w:tc>
          <w:tcPr>
            <w:tcW w:w="170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(J) Year in school</w:t>
            </w:r>
          </w:p>
        </w:tc>
        <w:tc>
          <w:tcPr>
            <w:tcW w:w="14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Mean Difference (I-J)</w:t>
            </w:r>
          </w:p>
        </w:tc>
        <w:tc>
          <w:tcPr>
            <w:tcW w:w="104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99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74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37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Upper Bound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16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Frosh</w:t>
            </w:r>
          </w:p>
        </w:tc>
        <w:tc>
          <w:tcPr>
            <w:tcW w:w="17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4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-3.088</w:t>
            </w:r>
          </w:p>
        </w:tc>
        <w:tc>
          <w:tcPr>
            <w:tcW w:w="10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.926</w:t>
            </w:r>
          </w:p>
        </w:tc>
        <w:tc>
          <w:tcPr>
            <w:tcW w:w="137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-16.13</w:t>
            </w:r>
          </w:p>
        </w:tc>
        <w:tc>
          <w:tcPr>
            <w:tcW w:w="137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9.96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-2.135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4.748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.970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-14.54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10.27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-1.561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-14.61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11.48</w:t>
            </w:r>
          </w:p>
        </w:tc>
      </w:tr>
      <w:tr w:rsidR="004C6F43" w:rsidRPr="003569E7" w:rsidTr="00954687">
        <w:trPr>
          <w:cantSplit/>
          <w:trHeight w:val="215"/>
        </w:trPr>
        <w:tc>
          <w:tcPr>
            <w:tcW w:w="165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Frosh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3.088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.926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-9.96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16.13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.952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2.100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-4.53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6.44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1.526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-5.29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8.34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165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Frosh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2.135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4.748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.970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-10.27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14.54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-.952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2.100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.969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-6.44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4.53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2.100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.993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-4.91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6.06</w:t>
            </w:r>
          </w:p>
        </w:tc>
      </w:tr>
      <w:tr w:rsidR="004C6F43" w:rsidRPr="003569E7" w:rsidTr="00954687">
        <w:trPr>
          <w:cantSplit/>
          <w:trHeight w:val="205"/>
        </w:trPr>
        <w:tc>
          <w:tcPr>
            <w:tcW w:w="165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Frosh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1.561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-11.48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14.61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Soph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-1.526</w:t>
            </w:r>
          </w:p>
        </w:tc>
        <w:tc>
          <w:tcPr>
            <w:tcW w:w="1041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-8.34</w:t>
            </w:r>
          </w:p>
        </w:tc>
        <w:tc>
          <w:tcPr>
            <w:tcW w:w="137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5.29</w:t>
            </w:r>
          </w:p>
        </w:tc>
      </w:tr>
      <w:tr w:rsidR="004C6F43" w:rsidRPr="003569E7" w:rsidTr="00954687">
        <w:trPr>
          <w:cantSplit/>
          <w:trHeight w:val="94"/>
        </w:trPr>
        <w:tc>
          <w:tcPr>
            <w:tcW w:w="16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Junior</w:t>
            </w:r>
          </w:p>
        </w:tc>
        <w:tc>
          <w:tcPr>
            <w:tcW w:w="14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-.574</w:t>
            </w:r>
          </w:p>
        </w:tc>
        <w:tc>
          <w:tcPr>
            <w:tcW w:w="10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2.100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.993</w:t>
            </w:r>
          </w:p>
        </w:tc>
        <w:tc>
          <w:tcPr>
            <w:tcW w:w="137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-6.06</w:t>
            </w:r>
          </w:p>
        </w:tc>
        <w:tc>
          <w:tcPr>
            <w:tcW w:w="137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C6F43" w:rsidRPr="003569E7" w:rsidRDefault="004C6F43" w:rsidP="009546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3569E7">
              <w:rPr>
                <w:rFonts w:cs="Arial"/>
                <w:color w:val="000000"/>
                <w:sz w:val="18"/>
                <w:szCs w:val="18"/>
              </w:rPr>
              <w:t>4.91</w:t>
            </w:r>
          </w:p>
        </w:tc>
      </w:tr>
    </w:tbl>
    <w:p w:rsidR="004C6F43" w:rsidRPr="004C6F43" w:rsidRDefault="004C6F43" w:rsidP="004C6F43">
      <w:pPr>
        <w:pStyle w:val="BodyText"/>
      </w:pPr>
    </w:p>
    <w:sectPr w:rsidR="004C6F43" w:rsidRPr="004C6F43" w:rsidSect="005B7B81">
      <w:headerReference w:type="default" r:id="rId18"/>
      <w:footerReference w:type="default" r:id="rId19"/>
      <w:pgSz w:w="12240" w:h="15840"/>
      <w:pgMar w:top="1267" w:right="1440" w:bottom="907" w:left="1627" w:header="274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FF0" w:rsidRDefault="00082FF0">
      <w:r>
        <w:separator/>
      </w:r>
    </w:p>
  </w:endnote>
  <w:endnote w:type="continuationSeparator" w:id="0">
    <w:p w:rsidR="00082FF0" w:rsidRDefault="0008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E8" w:rsidRDefault="00BD5CE8" w:rsidP="005B7B81">
    <w:pPr>
      <w:tabs>
        <w:tab w:val="right" w:pos="9270"/>
      </w:tabs>
      <w:ind w:right="90"/>
      <w:jc w:val="right"/>
      <w:rPr>
        <w:rStyle w:val="PageNumber"/>
      </w:rPr>
    </w:pPr>
  </w:p>
  <w:p w:rsidR="00BD5CE8" w:rsidRDefault="00FA64CC" w:rsidP="005B7B81">
    <w:pPr>
      <w:tabs>
        <w:tab w:val="right" w:pos="9270"/>
      </w:tabs>
      <w:ind w:right="90"/>
      <w:jc w:val="right"/>
      <w:rPr>
        <w:rStyle w:val="PageNumber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5829300" cy="0"/>
              <wp:effectExtent l="9525" t="15240" r="9525" b="1333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A86E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K4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" strokecolor="#ddd" strokeweight="1.5pt"/>
          </w:pict>
        </mc:Fallback>
      </mc:AlternateContent>
    </w:r>
  </w:p>
  <w:p w:rsidR="00BD5CE8" w:rsidRPr="00FF2873" w:rsidRDefault="00BD5CE8" w:rsidP="00FF2873">
    <w:pPr>
      <w:tabs>
        <w:tab w:val="right" w:pos="9270"/>
      </w:tabs>
      <w:ind w:right="90"/>
      <w:jc w:val="right"/>
      <w:rPr>
        <w:rFonts w:cs="Arial"/>
        <w:sz w:val="18"/>
        <w:szCs w:val="1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108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FF0" w:rsidRDefault="00082FF0">
      <w:r>
        <w:separator/>
      </w:r>
    </w:p>
  </w:footnote>
  <w:footnote w:type="continuationSeparator" w:id="0">
    <w:p w:rsidR="00082FF0" w:rsidRDefault="0008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E8" w:rsidRDefault="00FA64CC" w:rsidP="005B7B8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1946910" cy="291465"/>
          <wp:effectExtent l="0" t="0" r="0" b="0"/>
          <wp:wrapNone/>
          <wp:docPr id="8" name="Picture 8" descr="CU_Hori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U_Hori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5CE8" w:rsidRDefault="00FA64CC" w:rsidP="005B7B81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339090</wp:posOffset>
              </wp:positionV>
              <wp:extent cx="5829300" cy="0"/>
              <wp:effectExtent l="9525" t="15240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038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7pt" to="45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Lc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" strokecolor="#ddd" strokeweight="1.5pt"/>
          </w:pict>
        </mc:Fallback>
      </mc:AlternateContent>
    </w:r>
  </w:p>
  <w:p w:rsidR="00BD5CE8" w:rsidRDefault="00BD5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C3F70"/>
    <w:multiLevelType w:val="hybridMultilevel"/>
    <w:tmpl w:val="456E061C"/>
    <w:lvl w:ilvl="0" w:tplc="D4C05D1A">
      <w:start w:val="1"/>
      <w:numFmt w:val="bullet"/>
      <w:pStyle w:val="style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F3A"/>
    <w:multiLevelType w:val="multilevel"/>
    <w:tmpl w:val="194E3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81"/>
    <w:rsid w:val="000209A9"/>
    <w:rsid w:val="00042110"/>
    <w:rsid w:val="00065136"/>
    <w:rsid w:val="00082FF0"/>
    <w:rsid w:val="00085A33"/>
    <w:rsid w:val="000C1186"/>
    <w:rsid w:val="00191F09"/>
    <w:rsid w:val="0022491A"/>
    <w:rsid w:val="002B3EC0"/>
    <w:rsid w:val="002F52F7"/>
    <w:rsid w:val="002F5D66"/>
    <w:rsid w:val="003106F6"/>
    <w:rsid w:val="00331E2D"/>
    <w:rsid w:val="00382E77"/>
    <w:rsid w:val="00392604"/>
    <w:rsid w:val="003957AE"/>
    <w:rsid w:val="003D6C37"/>
    <w:rsid w:val="00402F5A"/>
    <w:rsid w:val="00442481"/>
    <w:rsid w:val="00497F77"/>
    <w:rsid w:val="004C6F43"/>
    <w:rsid w:val="004E5957"/>
    <w:rsid w:val="005226F1"/>
    <w:rsid w:val="00524F64"/>
    <w:rsid w:val="005B7B81"/>
    <w:rsid w:val="00605910"/>
    <w:rsid w:val="006409A6"/>
    <w:rsid w:val="00651086"/>
    <w:rsid w:val="00666326"/>
    <w:rsid w:val="0067617E"/>
    <w:rsid w:val="00697B29"/>
    <w:rsid w:val="00705317"/>
    <w:rsid w:val="00710484"/>
    <w:rsid w:val="007C6C25"/>
    <w:rsid w:val="00803A9F"/>
    <w:rsid w:val="00825B29"/>
    <w:rsid w:val="00860670"/>
    <w:rsid w:val="008965F6"/>
    <w:rsid w:val="008E793E"/>
    <w:rsid w:val="00914386"/>
    <w:rsid w:val="009249A5"/>
    <w:rsid w:val="00926D88"/>
    <w:rsid w:val="00954687"/>
    <w:rsid w:val="0096594A"/>
    <w:rsid w:val="009A3E1E"/>
    <w:rsid w:val="00AA5F6C"/>
    <w:rsid w:val="00AC37A0"/>
    <w:rsid w:val="00B103F7"/>
    <w:rsid w:val="00B341F2"/>
    <w:rsid w:val="00B824A1"/>
    <w:rsid w:val="00B93CA5"/>
    <w:rsid w:val="00BA0818"/>
    <w:rsid w:val="00BD5CE8"/>
    <w:rsid w:val="00BE76E4"/>
    <w:rsid w:val="00C15D6D"/>
    <w:rsid w:val="00C601A3"/>
    <w:rsid w:val="00C84B43"/>
    <w:rsid w:val="00D43857"/>
    <w:rsid w:val="00D75DF9"/>
    <w:rsid w:val="00D9465E"/>
    <w:rsid w:val="00D95A66"/>
    <w:rsid w:val="00DA02DF"/>
    <w:rsid w:val="00DD7FBE"/>
    <w:rsid w:val="00E6359D"/>
    <w:rsid w:val="00EA3DFD"/>
    <w:rsid w:val="00FA64CC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BF30E6-BCB3-441D-BED4-FBE6F4F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2873"/>
    <w:rPr>
      <w:sz w:val="22"/>
      <w:szCs w:val="24"/>
    </w:rPr>
  </w:style>
  <w:style w:type="paragraph" w:styleId="Heading1">
    <w:name w:val="heading 1"/>
    <w:next w:val="Normal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Normal"/>
    <w:link w:val="Heading2Char"/>
    <w:qFormat/>
    <w:rsid w:val="00914386"/>
    <w:pPr>
      <w:spacing w:before="360" w:after="60"/>
      <w:outlineLvl w:val="1"/>
    </w:pPr>
    <w:rPr>
      <w:rFonts w:cs="Arial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914386"/>
    <w:rPr>
      <w:rFonts w:cs="Arial"/>
      <w:b/>
      <w:bCs/>
      <w:color w:val="000000"/>
      <w:sz w:val="24"/>
      <w:szCs w:val="24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065136"/>
    <w:pPr>
      <w:numPr>
        <w:numId w:val="6"/>
      </w:numPr>
    </w:pPr>
  </w:style>
  <w:style w:type="paragraph" w:customStyle="1" w:styleId="BodyText">
    <w:name w:val="BodyText"/>
    <w:basedOn w:val="Normal"/>
    <w:link w:val="BodyTextChar"/>
    <w:qFormat/>
    <w:rsid w:val="00382E77"/>
    <w:pPr>
      <w:spacing w:before="120" w:after="60"/>
    </w:pPr>
  </w:style>
  <w:style w:type="character" w:customStyle="1" w:styleId="BodyTextChar">
    <w:name w:val="BodyText Char"/>
    <w:link w:val="BodyText"/>
    <w:rsid w:val="00382E77"/>
    <w:rPr>
      <w:szCs w:val="24"/>
    </w:rPr>
  </w:style>
  <w:style w:type="paragraph" w:customStyle="1" w:styleId="stylenumbered">
    <w:name w:val="style numbered"/>
    <w:basedOn w:val="Normal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382E77"/>
    <w:rPr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B21EEBF4D274EBD36CC81FA65FDF2" ma:contentTypeVersion="85" ma:contentTypeDescription="Upload a new document." ma:contentTypeScope="" ma:versionID="b522bb082dd6b434fab9e74abd4cfae2">
  <xsd:schema xmlns:xsd="http://www.w3.org/2001/XMLSchema" xmlns:p="http://schemas.microsoft.com/office/2006/metadata/properties" xmlns:ns1="http://schemas.microsoft.com/sharepoint/v3" xmlns:ns2="93881a67-ba3c-4994-ae00-93333657cd75" targetNamespace="http://schemas.microsoft.com/office/2006/metadata/properties" ma:root="true" ma:fieldsID="6e3e5771166b9cba80cde8df5d7719d7" ns1:_="" ns2:_="">
    <xsd:import namespace="http://schemas.microsoft.com/sharepoint/v3"/>
    <xsd:import namespace="93881a67-ba3c-4994-ae00-93333657cd75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Team" minOccurs="0"/>
                <xsd:element ref="ns2:Doc_x0020_Status" minOccurs="0"/>
                <xsd:element ref="ns2:Last_x0020_Modified0" minOccurs="0"/>
                <xsd:element ref="ns2:Choose_x0020_Category_x0020__x0028_Left_x0020_Nav_x0029_" minOccurs="0"/>
                <xsd:element ref="ns2:Maintenance_x0020_Notes" minOccurs="0"/>
                <xsd:element ref="ns2:Keyword" minOccurs="0"/>
                <xsd:element ref="ns2:Description0" minOccurs="0"/>
                <xsd:element ref="ns1:EmailSender" minOccurs="0"/>
                <xsd:element ref="ns1:EmailCc" minOccurs="0"/>
                <xsd:element ref="ns1:EmailSubject" minOccurs="0"/>
                <xsd:element ref="ns1:EmailFrom" minOccurs="0"/>
                <xsd:element ref="ns1:EmailTo" minOccurs="0"/>
                <xsd:element ref="ns2:Toolbox_x0020_Category" minOccurs="0"/>
                <xsd:element ref="ns2:Parts_x0020_of_x0020_the_x0020_Course_x0020_Test" minOccurs="0"/>
                <xsd:element ref="ns2:School_x002d_Specific_x0020_Resour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11" nillable="true" ma:displayName="E-Mail Sender" ma:hidden="true" ma:internalName="EmailSender">
      <xsd:simpleType>
        <xsd:restriction base="dms:Note"/>
      </xsd:simpleType>
    </xsd:element>
    <xsd:element name="EmailCc" ma:index="12" nillable="true" ma:displayName="E-Mail Cc" ma:hidden="true" ma:internalName="EmailCc">
      <xsd:simpleType>
        <xsd:restriction base="dms:Note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To" ma:index="15" nillable="true" ma:displayName="E-Mail To" ma:hidden="true" ma:internalName="Email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93881a67-ba3c-4994-ae00-93333657cd75" elementFormDefault="qualified">
    <xsd:import namespace="http://schemas.microsoft.com/office/2006/documentManagement/types"/>
    <xsd:element name="Title_x0020__x0028_with_x0020_link_x0020_to_x0020_document_x0029_" ma:index="1" nillable="true" ma:displayName="Doc Title (with link)" ma:description="Instructions: When you are initially uploading your document you must skip this step. After your document is loaded, it will have a hyperlink. Copy that hyperlink into the first text box above and type the document's title into the second text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Select your name"/>
          <xsd:enumeration value="Anne G."/>
          <xsd:enumeration value="Ann K."/>
          <xsd:enumeration value="Anne L."/>
          <xsd:enumeration value="Brent"/>
          <xsd:enumeration value="Jeff"/>
          <xsd:enumeration value="Keri"/>
          <xsd:enumeration value="Rachel"/>
          <xsd:enumeration value="Tanya"/>
          <xsd:enumeration value="Wendy"/>
          <xsd:enumeration value="N/A"/>
        </xsd:restriction>
      </xsd:simpleType>
    </xsd:element>
    <xsd:element name="Doc_x0020_Team" ma:index="3" nillable="true" ma:displayName="Team" ma:description="Doc Team" ma:format="Dropdown" ma:internalName="Doc_x0020_Team">
      <xsd:simpleType>
        <xsd:restriction base="dms:Choice">
          <xsd:enumeration value="Team 1"/>
          <xsd:enumeration value="Team 2"/>
          <xsd:enumeration value="Team 3"/>
          <xsd:enumeration value="Other"/>
        </xsd:restriction>
      </xsd:simpleType>
    </xsd:element>
    <xsd:element name="Doc_x0020_Status" ma:index="4" nillable="true" ma:displayName="Doc Status" ma:default="_" ma:format="RadioButtons" ma:internalName="Doc_x0020_Status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Last_x0020_Modified0" ma:index="5" nillable="true" ma:displayName="Last Modified" ma:format="DateOnly" ma:internalName="Last_x0020_Modified0">
      <xsd:simpleType>
        <xsd:restriction base="dms:DateTime"/>
      </xsd:simpleType>
    </xsd:element>
    <xsd:element name="Choose_x0020_Category_x0020__x0028_Left_x0020_Nav_x0029_" ma:index="6" nillable="true" ma:displayName="Choose Category (Left Nav)" ma:description="Select the toolbox page(s) this document should appear on." ma:internalName="Choose_x0020_Category_x0020__x0028_Left_x0020_Nav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ining"/>
                    <xsd:enumeration value="Specialized Elements"/>
                    <xsd:enumeration value="Styles and Standards"/>
                    <xsd:enumeration value="Celeste New and Revised"/>
                    <xsd:enumeration value="Celeste Minors"/>
                    <xsd:enumeration value="Non-Celeste New and Revised"/>
                    <xsd:enumeration value="Non-Celeste Minors"/>
                    <xsd:enumeration value="Home Page"/>
                    <xsd:enumeration value="Editors' Meetings Docs"/>
                  </xsd:restriction>
                </xsd:simpleType>
              </xsd:element>
            </xsd:sequence>
          </xsd:extension>
        </xsd:complexContent>
      </xsd:complexType>
    </xsd:element>
    <xsd:element name="Maintenance_x0020_Notes" ma:index="7" nillable="true" ma:displayName="Maintenance Notes" ma:internalName="Maintenance_x0020_Notes">
      <xsd:simpleType>
        <xsd:restriction base="dms:Note"/>
      </xsd:simpleType>
    </xsd:element>
    <xsd:element name="Keyword" ma:index="8" nillable="true" ma:displayName="Keyword" ma:internalName="Keyword">
      <xsd:simpleType>
        <xsd:restriction base="dms:Text">
          <xsd:maxLength value="255"/>
        </xsd:restriction>
      </xsd:simpleType>
    </xsd:element>
    <xsd:element name="Description0" ma:index="9" nillable="true" ma:displayName="Doc Description" ma:internalName="Description0">
      <xsd:simpleType>
        <xsd:restriction base="dms:Note"/>
      </xsd:simpleType>
    </xsd:element>
    <xsd:element name="Toolbox_x0020_Category" ma:index="16" nillable="true" ma:displayName="Toolbox Category" ma:default="Document" ma:format="Dropdown" ma:hidden="true" ma:internalName="Toolbox_x0020_Category" ma:readOnly="false">
      <xsd:simpleType>
        <xsd:restriction base="dms:Choice">
          <xsd:enumeration value="Document"/>
          <xsd:enumeration value="Meetings Document"/>
          <xsd:enumeration value="Toolbox Page"/>
        </xsd:restriction>
      </xsd:simpleType>
    </xsd:element>
    <xsd:element name="Parts_x0020_of_x0020_the_x0020_Course_x0020_Test" ma:index="24" nillable="true" ma:displayName="Parts of the Course" ma:description="Search for an editing document based on the page it is associated with." ma:format="RadioButtons" ma:hidden="true" ma:internalName="Parts_x0020_of_x0020_the_x0020_Course_x0020_Test" ma:readOnly="false">
      <xsd:simpleType>
        <xsd:restriction base="dms:Choice">
          <xsd:enumeration value="Syllabus"/>
          <xsd:enumeration value="Course Materials"/>
          <xsd:enumeration value="Project Descriptions"/>
          <xsd:enumeration value="Unit Introductions"/>
          <xsd:enumeration value="Unit Activities"/>
          <xsd:enumeration value="Studies"/>
          <xsd:enumeration value="Assignments"/>
          <xsd:enumeration value="Discussions"/>
          <xsd:enumeration value="Scoring Guides"/>
          <xsd:enumeration value="Course Files"/>
        </xsd:restriction>
      </xsd:simpleType>
    </xsd:element>
    <xsd:element name="School_x002d_Specific_x0020_Resources" ma:index="25" nillable="true" ma:displayName="School-specific" ma:format="Dropdown" ma:internalName="School_x002d_Specific_x0020_Resources">
      <xsd:simpleType>
        <xsd:restriction base="dms:Choice">
          <xsd:enumeration value="HASOP"/>
          <xsd:enumeration value="SOBT"/>
          <xsd:enumeration value="SOE"/>
          <xsd:enumeration value="SOHS"/>
          <xsd:enumeration value="SOU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 ma:readOnly="true"/>
        <xsd:element ref="dc:title" minOccurs="0" maxOccurs="1" ma:index="17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_x002d_Specific_x0020_Resources xmlns="93881a67-ba3c-4994-ae00-93333657cd75" xsi:nil="true"/>
    <Keyword xmlns="93881a67-ba3c-4994-ae00-93333657cd75" xsi:nil="true"/>
    <Doc_x0020_Team xmlns="93881a67-ba3c-4994-ae00-93333657cd75">Team 1</Doc_x0020_Team>
    <Last_x0020_Modified0 xmlns="93881a67-ba3c-4994-ae00-93333657cd75" xsi:nil="true"/>
    <Description0 xmlns="93881a67-ba3c-4994-ae00-93333657cd75">With placeholder text only.</Description0>
    <EmailTo xmlns="http://schemas.microsoft.com/sharepoint/v3" xsi:nil="true"/>
    <EmailSender xmlns="http://schemas.microsoft.com/sharepoint/v3" xsi:nil="true"/>
    <EmailFrom xmlns="http://schemas.microsoft.com/sharepoint/v3" xsi:nil="true"/>
    <Maintenance_x0020_Notes xmlns="93881a67-ba3c-4994-ae00-93333657cd75">Transitioning from TL to BM. </Maintenance_x0020_Notes>
    <Choose_x0020_Category_x0020__x0028_Left_x0020_Nav_x0029_ xmlns="93881a67-ba3c-4994-ae00-93333657cd75">
      <Value>Styles and Standards</Value>
      <Value>Celeste New and Revised</Value>
      <Value>Non-Celeste New and Revised</Value>
    </Choose_x0020_Category_x0020__x0028_Left_x0020_Nav_x0029_>
    <EmailSubject xmlns="http://schemas.microsoft.com/sharepoint/v3" xsi:nil="true"/>
    <Current_x0020_Doc_x0020_Owner xmlns="93881a67-ba3c-4994-ae00-93333657cd75">Brent</Current_x0020_Doc_x0020_Owner>
    <Doc_x0020_Status xmlns="93881a67-ba3c-4994-ae00-93333657cd75">Up to date.</Doc_x0020_Status>
    <Parts_x0020_of_x0020_the_x0020_Course_x0020_Test xmlns="93881a67-ba3c-4994-ae00-93333657cd75" xsi:nil="true"/>
    <Title_x0020__x0028_with_x0020_link_x0020_to_x0020_document_x0029_ xmlns="93881a67-ba3c-4994-ae00-93333657cd75">
      <Url>https://collaborate.capella.edu/nextgen/ngl1/editor_toolbox/All%20Documents/course_file_template_portrait.doc</Url>
      <Description>Course Files Template (portrait)</Description>
    </Title_x0020__x0028_with_x0020_link_x0020_to_x0020_document_x0029_>
    <EmailCc xmlns="http://schemas.microsoft.com/sharepoint/v3" xsi:nil="true"/>
    <Toolbox_x0020_Category xmlns="93881a67-ba3c-4994-ae00-93333657cd75">Document</Toolbox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A81B-5D91-4273-A5D8-AB7131D95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81a67-ba3c-4994-ae00-93333657cd7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B75FE34-5D8A-49BC-A9EE-BBEBAC4301D9}">
  <ds:schemaRefs>
    <ds:schemaRef ds:uri="http://schemas.microsoft.com/office/2006/metadata/properties"/>
    <ds:schemaRef ds:uri="http://schemas.microsoft.com/office/infopath/2007/PartnerControls"/>
    <ds:schemaRef ds:uri="93881a67-ba3c-4994-ae00-93333657cd7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010FBC-4FD1-4CB0-A55D-19CC9FEF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tleffler</dc:creator>
  <cp:lastModifiedBy>Cammie McIver</cp:lastModifiedBy>
  <cp:revision>2</cp:revision>
  <cp:lastPrinted>2004-11-23T17:45:00Z</cp:lastPrinted>
  <dcterms:created xsi:type="dcterms:W3CDTF">2017-05-16T00:40:00Z</dcterms:created>
  <dcterms:modified xsi:type="dcterms:W3CDTF">2017-05-16T00:40:00Z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 linkTarget="_Toc85533819">
    <vt:lpwstr>Et Harumd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Date Uploaded to Toolbox">
    <vt:lpwstr>2010-07-29T00:00:00Z</vt:lpwstr>
  </property>
  <property fmtid="{D5CDD505-2E9C-101B-9397-08002B2CF9AE}" pid="18" name="Creating Links">
    <vt:lpwstr>0</vt:lpwstr>
  </property>
  <property fmtid="{D5CDD505-2E9C-101B-9397-08002B2CF9AE}" pid="19" name="Dreamweaver">
    <vt:lpwstr>0</vt:lpwstr>
  </property>
  <property fmtid="{D5CDD505-2E9C-101B-9397-08002B2CF9AE}" pid="20" name="Checklist">
    <vt:lpwstr>0</vt:lpwstr>
  </property>
  <property fmtid="{D5CDD505-2E9C-101B-9397-08002B2CF9AE}" pid="21" name="Technologies">
    <vt:lpwstr>0</vt:lpwstr>
  </property>
  <property fmtid="{D5CDD505-2E9C-101B-9397-08002B2CF9AE}" pid="22" name="VitalSource">
    <vt:lpwstr>0</vt:lpwstr>
  </property>
  <property fmtid="{D5CDD505-2E9C-101B-9397-08002B2CF9AE}" pid="23" name="The DERG">
    <vt:lpwstr>0</vt:lpwstr>
  </property>
  <property fmtid="{D5CDD505-2E9C-101B-9397-08002B2CF9AE}" pid="24" name="Styles and Standards Column">
    <vt:lpwstr/>
  </property>
  <property fmtid="{D5CDD505-2E9C-101B-9397-08002B2CF9AE}" pid="25" name="Web Pages">
    <vt:lpwstr>0</vt:lpwstr>
  </property>
  <property fmtid="{D5CDD505-2E9C-101B-9397-08002B2CF9AE}" pid="26" name="SafeAssign">
    <vt:lpwstr>0</vt:lpwstr>
  </property>
  <property fmtid="{D5CDD505-2E9C-101B-9397-08002B2CF9AE}" pid="27" name="Styles and Formatting">
    <vt:lpwstr>1</vt:lpwstr>
  </property>
  <property fmtid="{D5CDD505-2E9C-101B-9397-08002B2CF9AE}" pid="28" name="VSS">
    <vt:lpwstr>0</vt:lpwstr>
  </property>
  <property fmtid="{D5CDD505-2E9C-101B-9397-08002B2CF9AE}" pid="29" name="ContentType">
    <vt:lpwstr>Document</vt:lpwstr>
  </property>
  <property fmtid="{D5CDD505-2E9C-101B-9397-08002B2CF9AE}" pid="30" name="Filename_test">
    <vt:lpwstr/>
  </property>
  <property fmtid="{D5CDD505-2E9C-101B-9397-08002B2CF9AE}" pid="31" name="Filename">
    <vt:lpwstr/>
  </property>
  <property fmtid="{D5CDD505-2E9C-101B-9397-08002B2CF9AE}" pid="32" name="Order">
    <vt:lpwstr>17400.0000000000</vt:lpwstr>
  </property>
  <property fmtid="{D5CDD505-2E9C-101B-9397-08002B2CF9AE}" pid="33" name="Doc Title with Link WIP">
    <vt:lpwstr>https://collaborate.capella.edu/nextgen/ngl1/editor_toolbox/All%20Documents/course_file_template_portrait.doc</vt:lpwstr>
  </property>
</Properties>
</file>