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BB" w:rsidRPr="00905ABB" w:rsidRDefault="00905ABB" w:rsidP="00905AB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905ABB">
        <w:rPr>
          <w:rFonts w:ascii="Verdana" w:eastAsia="Times New Roman" w:hAnsi="Verdana" w:cs="Tahoma"/>
          <w:color w:val="111111"/>
          <w:sz w:val="21"/>
          <w:szCs w:val="21"/>
        </w:rPr>
        <w:t>For each of the 2 majors consider the ‘School Type’ column.  Assuming the requirements are met, construct a 90% confidence interval for the proportion of the schools that are ‘Private’.  Be sure to interpret your results.</w:t>
      </w:r>
    </w:p>
    <w:p w:rsidR="00905ABB" w:rsidRDefault="00905ABB" w:rsidP="00905AB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905ABB" w:rsidRPr="00905ABB" w:rsidRDefault="00905ABB" w:rsidP="00905AB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bookmarkStart w:id="0" w:name="_GoBack"/>
      <w:bookmarkEnd w:id="0"/>
      <w:r w:rsidRPr="00905ABB">
        <w:rPr>
          <w:rFonts w:ascii="Verdana" w:eastAsia="Times New Roman" w:hAnsi="Verdana" w:cs="Tahoma"/>
          <w:color w:val="111111"/>
          <w:sz w:val="21"/>
          <w:szCs w:val="21"/>
        </w:rPr>
        <w:t>For each of the 2 majors construct a 95% confidence interval for the mean of the column ‘Annual % ROI’.  Be sure to interpret your results.</w:t>
      </w:r>
    </w:p>
    <w:p w:rsidR="005652AC" w:rsidRDefault="005652AC"/>
    <w:sectPr w:rsidR="0056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3E78"/>
    <w:multiLevelType w:val="multilevel"/>
    <w:tmpl w:val="9272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BB"/>
    <w:rsid w:val="005652AC"/>
    <w:rsid w:val="0090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F720"/>
  <w15:chartTrackingRefBased/>
  <w15:docId w15:val="{79F44EB1-680D-42AA-971D-1B35413B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046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30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4586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00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5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35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51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55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46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Stevens</dc:creator>
  <cp:keywords/>
  <dc:description/>
  <cp:lastModifiedBy>Vanya Stevens</cp:lastModifiedBy>
  <cp:revision>1</cp:revision>
  <dcterms:created xsi:type="dcterms:W3CDTF">2017-04-04T04:17:00Z</dcterms:created>
  <dcterms:modified xsi:type="dcterms:W3CDTF">2017-04-04T04:20:00Z</dcterms:modified>
</cp:coreProperties>
</file>