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D782A" w14:textId="77777777" w:rsidR="00DE023D" w:rsidRDefault="00DE023D"/>
    <w:tbl>
      <w:tblPr>
        <w:tblpPr w:leftFromText="180" w:rightFromText="180" w:vertAnchor="text" w:horzAnchor="page" w:tblpX="8405" w:tblpY="500"/>
        <w:tblW w:w="3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93"/>
      </w:tblGrid>
      <w:tr w:rsidR="00DE023D" w:rsidRPr="00DE023D" w14:paraId="3043FFA6" w14:textId="77777777" w:rsidTr="00DE023D">
        <w:trPr>
          <w:trHeight w:val="315"/>
        </w:trPr>
        <w:tc>
          <w:tcPr>
            <w:tcW w:w="3173" w:type="dxa"/>
            <w:gridSpan w:val="2"/>
            <w:shd w:val="clear" w:color="auto" w:fill="auto"/>
            <w:noWrap/>
            <w:vAlign w:val="center"/>
          </w:tcPr>
          <w:p w14:paraId="7427A724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Percentage of Obese Adults</w:t>
            </w:r>
          </w:p>
        </w:tc>
      </w:tr>
      <w:tr w:rsidR="00DE023D" w:rsidRPr="00DE023D" w14:paraId="51AAA9E2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BB3489D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67F5898C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</w:tr>
      <w:tr w:rsidR="00DE023D" w:rsidRPr="00DE023D" w14:paraId="1182BFE6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B441DC4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1F36B9CD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27.66</w:t>
            </w:r>
          </w:p>
        </w:tc>
      </w:tr>
      <w:tr w:rsidR="00DE023D" w:rsidRPr="00DE023D" w14:paraId="19DE9C17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60088689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421E2783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28.10</w:t>
            </w:r>
          </w:p>
        </w:tc>
      </w:tr>
      <w:tr w:rsidR="00DE023D" w:rsidRPr="00DE023D" w14:paraId="57132FC4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C16ED7C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66A15A54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30.20</w:t>
            </w:r>
          </w:p>
        </w:tc>
      </w:tr>
      <w:tr w:rsidR="00DE023D" w:rsidRPr="00DE023D" w14:paraId="5FC113AC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61C5796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Standard Dev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5858BFC0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3.27</w:t>
            </w:r>
          </w:p>
        </w:tc>
      </w:tr>
      <w:tr w:rsidR="00DE023D" w:rsidRPr="00DE023D" w14:paraId="2564AEC8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D1C8F0B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Min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1BA85F82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22.00</w:t>
            </w:r>
          </w:p>
        </w:tc>
      </w:tr>
      <w:tr w:rsidR="00DE023D" w:rsidRPr="00DE023D" w14:paraId="22B51C36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291FD1C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Max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55A7D577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35.20</w:t>
            </w:r>
          </w:p>
        </w:tc>
      </w:tr>
      <w:tr w:rsidR="00DE023D" w:rsidRPr="00DE023D" w14:paraId="25655CCD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907FF43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62D8774B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0.965981801</w:t>
            </w:r>
          </w:p>
        </w:tc>
      </w:tr>
    </w:tbl>
    <w:p w14:paraId="3CA5F52C" w14:textId="77777777" w:rsidR="009A5F3B" w:rsidRDefault="00DE023D">
      <w:r>
        <w:rPr>
          <w:noProof/>
        </w:rPr>
        <w:drawing>
          <wp:inline distT="0" distB="0" distL="0" distR="0" wp14:anchorId="0566B9FA" wp14:editId="50F95DDF">
            <wp:extent cx="4036060" cy="2539278"/>
            <wp:effectExtent l="0" t="0" r="254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5BB6483" w14:textId="6B9BF3A6" w:rsidR="00DE023D" w:rsidRDefault="00324488">
      <w:r>
        <w:t xml:space="preserve">This </w:t>
      </w:r>
      <w:r w:rsidR="00DE023D">
        <w:t xml:space="preserve">histogram </w:t>
      </w:r>
      <w:r w:rsidR="00562EFF">
        <w:t>shows</w:t>
      </w:r>
      <w:r w:rsidR="00DE023D">
        <w:t xml:space="preserve"> the distribution of the percent of obese adults </w:t>
      </w:r>
      <w:r>
        <w:t xml:space="preserve">in various Idaho counties in </w:t>
      </w:r>
      <w:r w:rsidR="00DE023D">
        <w:t xml:space="preserve">2010. This histogram shows that the data is skewed slightly to the left. </w:t>
      </w:r>
      <w:r w:rsidR="00562EFF">
        <w:t>The reason for this is that it is</w:t>
      </w:r>
      <w:r w:rsidR="00DE023D">
        <w:t xml:space="preserve"> most likely due to the outliers in both the 33.60 – 34.56 and 34.56 – 35.56 intervals. The interval that has the highest frequency is skewed just slightly higher than the mean value of 27.66, with the highest frequency occurring in the interval of 29.74 – 30.69. </w:t>
      </w:r>
    </w:p>
    <w:tbl>
      <w:tblPr>
        <w:tblpPr w:leftFromText="180" w:rightFromText="180" w:vertAnchor="text" w:horzAnchor="page" w:tblpX="8405" w:tblpY="343"/>
        <w:tblOverlap w:val="never"/>
        <w:tblW w:w="3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93"/>
      </w:tblGrid>
      <w:tr w:rsidR="00DE023D" w:rsidRPr="00DE023D" w14:paraId="7DAB7A6C" w14:textId="77777777" w:rsidTr="00DE023D">
        <w:trPr>
          <w:trHeight w:val="315"/>
        </w:trPr>
        <w:tc>
          <w:tcPr>
            <w:tcW w:w="3173" w:type="dxa"/>
            <w:gridSpan w:val="2"/>
            <w:shd w:val="clear" w:color="auto" w:fill="auto"/>
            <w:noWrap/>
            <w:vAlign w:val="center"/>
          </w:tcPr>
          <w:p w14:paraId="410BD307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Percentage of Obese Children</w:t>
            </w:r>
          </w:p>
        </w:tc>
      </w:tr>
      <w:tr w:rsidR="00DE023D" w:rsidRPr="00DE023D" w14:paraId="2E592B16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6847AFE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136F428F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</w:tr>
      <w:tr w:rsidR="00DE023D" w:rsidRPr="00DE023D" w14:paraId="437C671B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DD6BB3E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21DA019B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14.46</w:t>
            </w:r>
          </w:p>
        </w:tc>
      </w:tr>
      <w:tr w:rsidR="00DE023D" w:rsidRPr="00DE023D" w14:paraId="3061262C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68C61CF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2291045D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14.60</w:t>
            </w:r>
          </w:p>
        </w:tc>
      </w:tr>
      <w:tr w:rsidR="00DE023D" w:rsidRPr="00DE023D" w14:paraId="02CA6043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A023D47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62F597B8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15.20</w:t>
            </w:r>
          </w:p>
        </w:tc>
      </w:tr>
      <w:tr w:rsidR="00DE023D" w:rsidRPr="00DE023D" w14:paraId="6F253387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8DBABD4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Standard Dev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0E5BB46B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1.77</w:t>
            </w:r>
          </w:p>
        </w:tc>
      </w:tr>
      <w:tr w:rsidR="00DE023D" w:rsidRPr="00DE023D" w14:paraId="24DD58FE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136A6E7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Min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28AD8BEA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9.60</w:t>
            </w:r>
          </w:p>
        </w:tc>
      </w:tr>
      <w:tr w:rsidR="00DE023D" w:rsidRPr="00DE023D" w14:paraId="2C32D566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AABC41A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Max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0A8F0801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18.20</w:t>
            </w:r>
          </w:p>
        </w:tc>
      </w:tr>
      <w:tr w:rsidR="00DE023D" w:rsidRPr="00DE023D" w14:paraId="0F9DC1BA" w14:textId="77777777" w:rsidTr="00DE023D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5316506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14:paraId="42FD6F25" w14:textId="77777777" w:rsidR="00DE023D" w:rsidRPr="00DE023D" w:rsidRDefault="00DE023D" w:rsidP="00DE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0.524178</w:t>
            </w:r>
          </w:p>
        </w:tc>
      </w:tr>
    </w:tbl>
    <w:p w14:paraId="321DA389" w14:textId="77777777" w:rsidR="00DE023D" w:rsidRDefault="00DE023D">
      <w:r>
        <w:rPr>
          <w:noProof/>
        </w:rPr>
        <w:drawing>
          <wp:inline distT="0" distB="0" distL="0" distR="0" wp14:anchorId="09931ABE" wp14:editId="6B759F9F">
            <wp:extent cx="4036553" cy="2497540"/>
            <wp:effectExtent l="0" t="0" r="2540" b="1714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61783A1" w14:textId="707F4E51" w:rsidR="004C7533" w:rsidRDefault="00DE023D" w:rsidP="004C7533">
      <w:r>
        <w:br w:type="textWrapping" w:clear="all"/>
      </w:r>
      <w:r w:rsidR="00562EFF">
        <w:t>This</w:t>
      </w:r>
      <w:bookmarkStart w:id="0" w:name="_GoBack"/>
      <w:bookmarkEnd w:id="0"/>
      <w:r w:rsidR="004C7533">
        <w:t xml:space="preserve"> histogram </w:t>
      </w:r>
      <w:r w:rsidR="00562EFF">
        <w:t>shows</w:t>
      </w:r>
      <w:r w:rsidR="004C7533">
        <w:t xml:space="preserve"> the distribution of the percent of obese children in various Idaho counties </w:t>
      </w:r>
      <w:r w:rsidR="00324488">
        <w:t xml:space="preserve">in </w:t>
      </w:r>
      <w:r w:rsidR="004C7533">
        <w:t>2010. This histogram shows that the data follows generally normal distribution. The data set has slight outliers at both the 9.60 – 10.12 and 18.00 – 18.51 intervals. The two intervals that have the highest frequency, 13.80 – 14.32 and 14.85 – 15.37, are centered on the interval which contains the mean value of the set, 14.46.</w:t>
      </w:r>
    </w:p>
    <w:p w14:paraId="3F218E8E" w14:textId="77777777" w:rsidR="00DE023D" w:rsidRDefault="00DE023D"/>
    <w:sectPr w:rsidR="00DE0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3D"/>
    <w:rsid w:val="00324488"/>
    <w:rsid w:val="004C7533"/>
    <w:rsid w:val="00562EFF"/>
    <w:rsid w:val="009A5F3B"/>
    <w:rsid w:val="00DE023D"/>
    <w:rsid w:val="00F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D6DD"/>
  <w15:chartTrackingRefBased/>
  <w15:docId w15:val="{5C2ED52E-DE92-40E6-8515-FB842460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chart" Target="charts/chart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oleObject" Target="file:///C:\Users\Aileen\Desktop\20161115045652food_atlas_idaho_d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microsoft.com/office/2011/relationships/chartStyle" Target="style2.xml"/><Relationship Id="rId2" Type="http://schemas.microsoft.com/office/2011/relationships/chartColorStyle" Target="colors2.xml"/><Relationship Id="rId3" Type="http://schemas.openxmlformats.org/officeDocument/2006/relationships/oleObject" Target="file:///C:\Users\Aileen\Desktop\20161115045652food_atlas_idaho_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 of Obese Adults 2010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Sheet1!$F$2:$F$15</c:f>
              <c:strCache>
                <c:ptCount val="14"/>
                <c:pt idx="0">
                  <c:v>22.00 - 22.97</c:v>
                </c:pt>
                <c:pt idx="1">
                  <c:v>22.98 - 23.83</c:v>
                </c:pt>
                <c:pt idx="2">
                  <c:v>23.84 - 24.90</c:v>
                </c:pt>
                <c:pt idx="3">
                  <c:v>24.91 - 25.86</c:v>
                </c:pt>
                <c:pt idx="4">
                  <c:v>25.87 - 26.83</c:v>
                </c:pt>
                <c:pt idx="5">
                  <c:v>26.84 - 27.80</c:v>
                </c:pt>
                <c:pt idx="6">
                  <c:v>27.81 - 28.76</c:v>
                </c:pt>
                <c:pt idx="7">
                  <c:v>28.77 - 29.73</c:v>
                </c:pt>
                <c:pt idx="8">
                  <c:v>29.74 - 30.69</c:v>
                </c:pt>
                <c:pt idx="9">
                  <c:v>30.70 - 31.66</c:v>
                </c:pt>
                <c:pt idx="10">
                  <c:v>31.67 - 32.63</c:v>
                </c:pt>
                <c:pt idx="11">
                  <c:v>32.64 - 33.59</c:v>
                </c:pt>
                <c:pt idx="12">
                  <c:v>33.60 -34.56</c:v>
                </c:pt>
                <c:pt idx="13">
                  <c:v>34.56 - 35.52</c:v>
                </c:pt>
              </c:strCache>
            </c:strRef>
          </c:cat>
          <c:val>
            <c:numRef>
              <c:f>Sheet1!$E$2:$E$15</c:f>
              <c:numCache>
                <c:formatCode>General</c:formatCode>
                <c:ptCount val="14"/>
                <c:pt idx="0">
                  <c:v>4.0</c:v>
                </c:pt>
                <c:pt idx="1">
                  <c:v>2.0</c:v>
                </c:pt>
                <c:pt idx="2">
                  <c:v>6.0</c:v>
                </c:pt>
                <c:pt idx="3">
                  <c:v>1.0</c:v>
                </c:pt>
                <c:pt idx="4">
                  <c:v>7.0</c:v>
                </c:pt>
                <c:pt idx="5">
                  <c:v>1.0</c:v>
                </c:pt>
                <c:pt idx="6">
                  <c:v>5.0</c:v>
                </c:pt>
                <c:pt idx="7">
                  <c:v>4.0</c:v>
                </c:pt>
                <c:pt idx="8">
                  <c:v>10.0</c:v>
                </c:pt>
                <c:pt idx="9">
                  <c:v>1.0</c:v>
                </c:pt>
                <c:pt idx="10">
                  <c:v>0.0</c:v>
                </c:pt>
                <c:pt idx="11">
                  <c:v>0.0</c:v>
                </c:pt>
                <c:pt idx="12">
                  <c:v>2.0</c:v>
                </c:pt>
                <c:pt idx="13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-2074848368"/>
        <c:axId val="-2136445232"/>
      </c:barChart>
      <c:catAx>
        <c:axId val="-20748483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36445232"/>
        <c:crosses val="autoZero"/>
        <c:auto val="1"/>
        <c:lblAlgn val="ctr"/>
        <c:lblOffset val="100"/>
        <c:noMultiLvlLbl val="0"/>
      </c:catAx>
      <c:valAx>
        <c:axId val="-213644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074848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Percentage of Obese</a:t>
            </a:r>
            <a:r>
              <a:rPr lang="en-US" baseline="0"/>
              <a:t> Children 2010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Sheet1!$L$2:$L$18</c:f>
              <c:strCache>
                <c:ptCount val="17"/>
                <c:pt idx="0">
                  <c:v>9.60 - 10.12</c:v>
                </c:pt>
                <c:pt idx="1">
                  <c:v>9.13 - 10.65</c:v>
                </c:pt>
                <c:pt idx="2">
                  <c:v>10.66 - 11.17</c:v>
                </c:pt>
                <c:pt idx="3">
                  <c:v>11.18 -11.70</c:v>
                </c:pt>
                <c:pt idx="4">
                  <c:v>11.71 - 12.22</c:v>
                </c:pt>
                <c:pt idx="5">
                  <c:v>12.23 - 12.75</c:v>
                </c:pt>
                <c:pt idx="6">
                  <c:v>12.76 - 13.27</c:v>
                </c:pt>
                <c:pt idx="7">
                  <c:v>13.28 - 13.79</c:v>
                </c:pt>
                <c:pt idx="8">
                  <c:v>13.80 - 14.32</c:v>
                </c:pt>
                <c:pt idx="9">
                  <c:v>14.33 - 14.84</c:v>
                </c:pt>
                <c:pt idx="10">
                  <c:v>14.85 - 15.37</c:v>
                </c:pt>
                <c:pt idx="11">
                  <c:v>15.38 - 15.89</c:v>
                </c:pt>
                <c:pt idx="12">
                  <c:v>15.90 - 16.41</c:v>
                </c:pt>
                <c:pt idx="13">
                  <c:v>16.42 - 16.94</c:v>
                </c:pt>
                <c:pt idx="14">
                  <c:v>16.95 - 17.46</c:v>
                </c:pt>
                <c:pt idx="15">
                  <c:v>17.47 - 17.99</c:v>
                </c:pt>
                <c:pt idx="16">
                  <c:v>18.00 - 18.51</c:v>
                </c:pt>
              </c:strCache>
            </c:strRef>
          </c:cat>
          <c:val>
            <c:numRef>
              <c:f>Sheet1!$K$2:$K$18</c:f>
              <c:numCache>
                <c:formatCode>General</c:formatCode>
                <c:ptCount val="17"/>
                <c:pt idx="0">
                  <c:v>1.0</c:v>
                </c:pt>
                <c:pt idx="1">
                  <c:v>0.0</c:v>
                </c:pt>
                <c:pt idx="2">
                  <c:v>0.0</c:v>
                </c:pt>
                <c:pt idx="3">
                  <c:v>3.0</c:v>
                </c:pt>
                <c:pt idx="4">
                  <c:v>1.0</c:v>
                </c:pt>
                <c:pt idx="5">
                  <c:v>1.0</c:v>
                </c:pt>
                <c:pt idx="6">
                  <c:v>5.0</c:v>
                </c:pt>
                <c:pt idx="7">
                  <c:v>3.0</c:v>
                </c:pt>
                <c:pt idx="8">
                  <c:v>6.0</c:v>
                </c:pt>
                <c:pt idx="9">
                  <c:v>4.0</c:v>
                </c:pt>
                <c:pt idx="10">
                  <c:v>6.0</c:v>
                </c:pt>
                <c:pt idx="11">
                  <c:v>5.0</c:v>
                </c:pt>
                <c:pt idx="12">
                  <c:v>4.0</c:v>
                </c:pt>
                <c:pt idx="13">
                  <c:v>3.0</c:v>
                </c:pt>
                <c:pt idx="14">
                  <c:v>1.0</c:v>
                </c:pt>
                <c:pt idx="15">
                  <c:v>0.0</c:v>
                </c:pt>
                <c:pt idx="16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2119133456"/>
        <c:axId val="2119153856"/>
      </c:barChart>
      <c:catAx>
        <c:axId val="21191334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9153856"/>
        <c:crosses val="autoZero"/>
        <c:auto val="1"/>
        <c:lblAlgn val="ctr"/>
        <c:lblOffset val="100"/>
        <c:noMultiLvlLbl val="0"/>
      </c:catAx>
      <c:valAx>
        <c:axId val="211915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913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Lonergan</dc:creator>
  <cp:keywords/>
  <dc:description/>
  <cp:lastModifiedBy>Claire Colgrove</cp:lastModifiedBy>
  <cp:revision>3</cp:revision>
  <dcterms:created xsi:type="dcterms:W3CDTF">2016-11-15T06:32:00Z</dcterms:created>
  <dcterms:modified xsi:type="dcterms:W3CDTF">2016-11-15T06:38:00Z</dcterms:modified>
</cp:coreProperties>
</file>