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AB0" w:rsidRPr="008B0890" w:rsidRDefault="001A3AB0" w:rsidP="008B0890">
      <w:pPr>
        <w:spacing w:line="480" w:lineRule="auto"/>
        <w:jc w:val="center"/>
        <w:rPr>
          <w:rFonts w:ascii="Times New Roman" w:hAnsi="Times New Roman" w:cs="Times New Roman"/>
          <w:sz w:val="24"/>
          <w:szCs w:val="24"/>
        </w:rPr>
      </w:pPr>
      <w:r w:rsidRPr="008B0890">
        <w:rPr>
          <w:rFonts w:ascii="Times New Roman" w:hAnsi="Times New Roman" w:cs="Times New Roman"/>
          <w:sz w:val="24"/>
          <w:szCs w:val="24"/>
        </w:rPr>
        <w:t>Name:</w:t>
      </w:r>
    </w:p>
    <w:p w:rsidR="001A3AB0" w:rsidRPr="008B0890" w:rsidRDefault="001A3AB0" w:rsidP="008B0890">
      <w:pPr>
        <w:spacing w:line="480" w:lineRule="auto"/>
        <w:jc w:val="center"/>
        <w:rPr>
          <w:rFonts w:ascii="Times New Roman" w:hAnsi="Times New Roman" w:cs="Times New Roman"/>
          <w:sz w:val="24"/>
          <w:szCs w:val="24"/>
        </w:rPr>
      </w:pPr>
      <w:r w:rsidRPr="008B0890">
        <w:rPr>
          <w:rFonts w:ascii="Times New Roman" w:hAnsi="Times New Roman" w:cs="Times New Roman"/>
          <w:sz w:val="24"/>
          <w:szCs w:val="24"/>
        </w:rPr>
        <w:t>Course:</w:t>
      </w:r>
    </w:p>
    <w:p w:rsidR="001A3AB0" w:rsidRPr="008B0890" w:rsidRDefault="001A3AB0" w:rsidP="008B0890">
      <w:pPr>
        <w:spacing w:line="480" w:lineRule="auto"/>
        <w:jc w:val="center"/>
        <w:rPr>
          <w:rFonts w:ascii="Times New Roman" w:hAnsi="Times New Roman" w:cs="Times New Roman"/>
          <w:sz w:val="24"/>
          <w:szCs w:val="24"/>
        </w:rPr>
      </w:pPr>
      <w:r w:rsidRPr="008B0890">
        <w:rPr>
          <w:rFonts w:ascii="Times New Roman" w:hAnsi="Times New Roman" w:cs="Times New Roman"/>
          <w:sz w:val="24"/>
          <w:szCs w:val="24"/>
        </w:rPr>
        <w:t>Institution:</w:t>
      </w:r>
    </w:p>
    <w:p w:rsidR="001A3AB0" w:rsidRPr="008B0890" w:rsidRDefault="001A3AB0" w:rsidP="008B0890">
      <w:pPr>
        <w:spacing w:line="480" w:lineRule="auto"/>
        <w:jc w:val="center"/>
        <w:rPr>
          <w:rFonts w:ascii="Times New Roman" w:hAnsi="Times New Roman" w:cs="Times New Roman"/>
          <w:sz w:val="24"/>
          <w:szCs w:val="24"/>
        </w:rPr>
      </w:pPr>
      <w:r w:rsidRPr="008B0890">
        <w:rPr>
          <w:rFonts w:ascii="Times New Roman" w:hAnsi="Times New Roman" w:cs="Times New Roman"/>
          <w:sz w:val="24"/>
          <w:szCs w:val="24"/>
        </w:rPr>
        <w:t>Professor:</w:t>
      </w:r>
    </w:p>
    <w:p w:rsidR="001A3AB0" w:rsidRPr="008B0890" w:rsidRDefault="001A3AB0" w:rsidP="008B0890">
      <w:pPr>
        <w:spacing w:line="480" w:lineRule="auto"/>
        <w:rPr>
          <w:rFonts w:ascii="Times New Roman" w:hAnsi="Times New Roman" w:cs="Times New Roman"/>
          <w:b/>
          <w:sz w:val="24"/>
          <w:szCs w:val="24"/>
          <w:u w:val="single"/>
        </w:rPr>
      </w:pPr>
    </w:p>
    <w:p w:rsidR="00C857DA" w:rsidRPr="008B0890" w:rsidRDefault="00C857DA" w:rsidP="008B0890">
      <w:pPr>
        <w:spacing w:line="480" w:lineRule="auto"/>
        <w:rPr>
          <w:rFonts w:ascii="Times New Roman" w:hAnsi="Times New Roman" w:cs="Times New Roman"/>
          <w:b/>
          <w:sz w:val="24"/>
          <w:szCs w:val="24"/>
          <w:u w:val="single"/>
        </w:rPr>
      </w:pPr>
      <w:r w:rsidRPr="008B0890">
        <w:rPr>
          <w:rFonts w:ascii="Times New Roman" w:hAnsi="Times New Roman" w:cs="Times New Roman"/>
          <w:b/>
          <w:sz w:val="24"/>
          <w:szCs w:val="24"/>
          <w:u w:val="single"/>
        </w:rPr>
        <w:t>Trade barriers</w:t>
      </w:r>
    </w:p>
    <w:p w:rsidR="005A643B" w:rsidRPr="008B0890" w:rsidRDefault="005A643B"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These are policies and business practices that make trading difficult. The main aim of trade barriers is to protect the home economic market from the international market. The main way of enforcing trade barriers is by imposing high taxation or hiking prices of imported goods to make locally produced more competitive.</w:t>
      </w:r>
    </w:p>
    <w:p w:rsidR="005A643B" w:rsidRPr="008B0890" w:rsidRDefault="005A643B" w:rsidP="008B0890">
      <w:pPr>
        <w:spacing w:line="480" w:lineRule="auto"/>
        <w:rPr>
          <w:rFonts w:ascii="Times New Roman" w:hAnsi="Times New Roman" w:cs="Times New Roman"/>
          <w:b/>
          <w:sz w:val="24"/>
          <w:szCs w:val="24"/>
          <w:u w:val="single"/>
        </w:rPr>
      </w:pPr>
      <w:r w:rsidRPr="008B0890">
        <w:rPr>
          <w:rFonts w:ascii="Times New Roman" w:hAnsi="Times New Roman" w:cs="Times New Roman"/>
          <w:b/>
          <w:sz w:val="24"/>
          <w:szCs w:val="24"/>
          <w:u w:val="single"/>
        </w:rPr>
        <w:t>Types of barriers</w:t>
      </w:r>
    </w:p>
    <w:p w:rsidR="005A643B" w:rsidRPr="008B0890" w:rsidRDefault="005A643B" w:rsidP="008B0890">
      <w:pPr>
        <w:spacing w:line="480" w:lineRule="auto"/>
        <w:rPr>
          <w:rFonts w:ascii="Times New Roman" w:hAnsi="Times New Roman" w:cs="Times New Roman"/>
          <w:sz w:val="24"/>
          <w:szCs w:val="24"/>
        </w:rPr>
      </w:pPr>
      <w:r w:rsidRPr="008B0890">
        <w:rPr>
          <w:rFonts w:ascii="Times New Roman" w:hAnsi="Times New Roman" w:cs="Times New Roman"/>
          <w:b/>
          <w:sz w:val="24"/>
          <w:szCs w:val="24"/>
          <w:u w:val="single"/>
        </w:rPr>
        <w:t>Tariffs</w:t>
      </w:r>
    </w:p>
    <w:p w:rsidR="005A643B" w:rsidRPr="008B0890" w:rsidRDefault="005A643B" w:rsidP="008B0890">
      <w:pPr>
        <w:spacing w:line="480" w:lineRule="auto"/>
        <w:rPr>
          <w:rFonts w:ascii="Times New Roman" w:hAnsi="Times New Roman" w:cs="Times New Roman"/>
          <w:color w:val="373737"/>
          <w:sz w:val="24"/>
          <w:szCs w:val="24"/>
          <w:shd w:val="clear" w:color="auto" w:fill="FFFFFF"/>
        </w:rPr>
      </w:pPr>
      <w:r w:rsidRPr="008B0890">
        <w:rPr>
          <w:rFonts w:ascii="Times New Roman" w:hAnsi="Times New Roman" w:cs="Times New Roman"/>
          <w:sz w:val="24"/>
          <w:szCs w:val="24"/>
        </w:rPr>
        <w:t xml:space="preserve">They are mostly used by </w:t>
      </w:r>
      <w:r w:rsidR="00822498" w:rsidRPr="008B0890">
        <w:rPr>
          <w:rFonts w:ascii="Times New Roman" w:hAnsi="Times New Roman" w:cs="Times New Roman"/>
          <w:sz w:val="24"/>
          <w:szCs w:val="24"/>
        </w:rPr>
        <w:t>governments</w:t>
      </w:r>
      <w:r w:rsidRPr="008B0890">
        <w:rPr>
          <w:rFonts w:ascii="Times New Roman" w:hAnsi="Times New Roman" w:cs="Times New Roman"/>
          <w:sz w:val="24"/>
          <w:szCs w:val="24"/>
        </w:rPr>
        <w:t xml:space="preserve"> by imposing heavy taxation on importation of goods as a result the international companies end up </w:t>
      </w:r>
      <w:r w:rsidR="00822498" w:rsidRPr="008B0890">
        <w:rPr>
          <w:rFonts w:ascii="Times New Roman" w:hAnsi="Times New Roman" w:cs="Times New Roman"/>
          <w:sz w:val="24"/>
          <w:szCs w:val="24"/>
        </w:rPr>
        <w:t>raising</w:t>
      </w:r>
      <w:r w:rsidRPr="008B0890">
        <w:rPr>
          <w:rFonts w:ascii="Times New Roman" w:hAnsi="Times New Roman" w:cs="Times New Roman"/>
          <w:sz w:val="24"/>
          <w:szCs w:val="24"/>
        </w:rPr>
        <w:t xml:space="preserve"> their cost for a </w:t>
      </w:r>
      <w:r w:rsidR="00822498" w:rsidRPr="008B0890">
        <w:rPr>
          <w:rFonts w:ascii="Times New Roman" w:hAnsi="Times New Roman" w:cs="Times New Roman"/>
          <w:sz w:val="24"/>
          <w:szCs w:val="24"/>
        </w:rPr>
        <w:t>return on</w:t>
      </w:r>
      <w:r w:rsidRPr="008B0890">
        <w:rPr>
          <w:rFonts w:ascii="Times New Roman" w:hAnsi="Times New Roman" w:cs="Times New Roman"/>
          <w:sz w:val="24"/>
          <w:szCs w:val="24"/>
        </w:rPr>
        <w:t xml:space="preserve"> investment</w:t>
      </w:r>
      <w:r w:rsidR="00822498" w:rsidRPr="008B0890">
        <w:rPr>
          <w:rFonts w:ascii="Times New Roman" w:hAnsi="Times New Roman" w:cs="Times New Roman"/>
          <w:sz w:val="24"/>
          <w:szCs w:val="24"/>
        </w:rPr>
        <w:t xml:space="preserve"> making locally produced product affordable</w:t>
      </w:r>
      <w:r w:rsidRPr="008B0890">
        <w:rPr>
          <w:rFonts w:ascii="Times New Roman" w:hAnsi="Times New Roman" w:cs="Times New Roman"/>
          <w:sz w:val="24"/>
          <w:szCs w:val="24"/>
        </w:rPr>
        <w:t>.</w:t>
      </w:r>
    </w:p>
    <w:p w:rsidR="00822498" w:rsidRPr="008B0890" w:rsidRDefault="00822498" w:rsidP="008B0890">
      <w:pPr>
        <w:spacing w:line="480" w:lineRule="auto"/>
        <w:rPr>
          <w:rFonts w:ascii="Times New Roman" w:hAnsi="Times New Roman" w:cs="Times New Roman"/>
          <w:b/>
          <w:color w:val="373737"/>
          <w:sz w:val="24"/>
          <w:szCs w:val="24"/>
          <w:u w:val="single"/>
          <w:shd w:val="clear" w:color="auto" w:fill="FFFFFF"/>
        </w:rPr>
      </w:pPr>
      <w:r w:rsidRPr="008B0890">
        <w:rPr>
          <w:rFonts w:ascii="Times New Roman" w:hAnsi="Times New Roman" w:cs="Times New Roman"/>
          <w:b/>
          <w:color w:val="373737"/>
          <w:sz w:val="24"/>
          <w:szCs w:val="24"/>
          <w:u w:val="single"/>
          <w:shd w:val="clear" w:color="auto" w:fill="FFFFFF"/>
        </w:rPr>
        <w:t xml:space="preserve">Non-tariff barriers </w:t>
      </w:r>
    </w:p>
    <w:p w:rsidR="00822498" w:rsidRPr="008B0890" w:rsidRDefault="00822498" w:rsidP="008B0890">
      <w:pPr>
        <w:spacing w:line="480" w:lineRule="auto"/>
        <w:rPr>
          <w:rFonts w:ascii="Times New Roman" w:hAnsi="Times New Roman" w:cs="Times New Roman"/>
          <w:color w:val="373737"/>
          <w:sz w:val="24"/>
          <w:szCs w:val="24"/>
          <w:shd w:val="clear" w:color="auto" w:fill="FFFFFF"/>
        </w:rPr>
      </w:pPr>
      <w:r w:rsidRPr="008B0890">
        <w:rPr>
          <w:rFonts w:ascii="Times New Roman" w:hAnsi="Times New Roman" w:cs="Times New Roman"/>
          <w:color w:val="373737"/>
          <w:sz w:val="24"/>
          <w:szCs w:val="24"/>
          <w:shd w:val="clear" w:color="auto" w:fill="FFFFFF"/>
        </w:rPr>
        <w:t>These are barriers that do not involve putting taxations on imported goods. Non-tariff barriers can be imposed in three major ways.</w:t>
      </w:r>
    </w:p>
    <w:p w:rsidR="00822498" w:rsidRPr="008B0890" w:rsidRDefault="00822498" w:rsidP="008B0890">
      <w:pPr>
        <w:spacing w:line="480" w:lineRule="auto"/>
        <w:rPr>
          <w:rFonts w:ascii="Times New Roman" w:hAnsi="Times New Roman" w:cs="Times New Roman"/>
          <w:color w:val="373737"/>
          <w:sz w:val="24"/>
          <w:szCs w:val="24"/>
          <w:shd w:val="clear" w:color="auto" w:fill="FFFFFF"/>
        </w:rPr>
      </w:pPr>
      <w:r w:rsidRPr="008B0890">
        <w:rPr>
          <w:rFonts w:ascii="Times New Roman" w:hAnsi="Times New Roman" w:cs="Times New Roman"/>
          <w:color w:val="373737"/>
          <w:sz w:val="24"/>
          <w:szCs w:val="24"/>
          <w:shd w:val="clear" w:color="auto" w:fill="FFFFFF"/>
        </w:rPr>
        <w:lastRenderedPageBreak/>
        <w:t>Subsidies- this is where governments support local businesses with financing and technical assistance to make them competitive with other foreign companies.</w:t>
      </w:r>
    </w:p>
    <w:p w:rsidR="00822498" w:rsidRPr="008B0890" w:rsidRDefault="00822498" w:rsidP="008B0890">
      <w:pPr>
        <w:spacing w:line="480" w:lineRule="auto"/>
        <w:rPr>
          <w:rFonts w:ascii="Times New Roman" w:hAnsi="Times New Roman" w:cs="Times New Roman"/>
          <w:color w:val="373737"/>
          <w:sz w:val="24"/>
          <w:szCs w:val="24"/>
          <w:shd w:val="clear" w:color="auto" w:fill="FFFFFF"/>
        </w:rPr>
      </w:pPr>
      <w:r w:rsidRPr="008B0890">
        <w:rPr>
          <w:rFonts w:ascii="Times New Roman" w:hAnsi="Times New Roman" w:cs="Times New Roman"/>
          <w:color w:val="373737"/>
          <w:sz w:val="24"/>
          <w:szCs w:val="24"/>
          <w:shd w:val="clear" w:color="auto" w:fill="FFFFFF"/>
        </w:rPr>
        <w:t>Quotas-this is where governments limit importation of goods to exact standards or quantity.</w:t>
      </w:r>
    </w:p>
    <w:p w:rsidR="005A643B" w:rsidRPr="008B0890" w:rsidRDefault="00EE06F8" w:rsidP="008B0890">
      <w:pPr>
        <w:spacing w:line="480" w:lineRule="auto"/>
        <w:rPr>
          <w:rFonts w:ascii="Times New Roman" w:hAnsi="Times New Roman" w:cs="Times New Roman"/>
          <w:color w:val="373737"/>
          <w:sz w:val="24"/>
          <w:szCs w:val="24"/>
          <w:shd w:val="clear" w:color="auto" w:fill="FFFFFF"/>
        </w:rPr>
      </w:pPr>
      <w:r w:rsidRPr="008B0890">
        <w:rPr>
          <w:rFonts w:ascii="Times New Roman" w:hAnsi="Times New Roman" w:cs="Times New Roman"/>
          <w:color w:val="373737"/>
          <w:sz w:val="24"/>
          <w:szCs w:val="24"/>
          <w:shd w:val="clear" w:color="auto" w:fill="FFFFFF"/>
        </w:rPr>
        <w:t xml:space="preserve">Laws and regulations </w:t>
      </w:r>
      <w:r w:rsidR="00822498" w:rsidRPr="008B0890">
        <w:rPr>
          <w:rFonts w:ascii="Times New Roman" w:hAnsi="Times New Roman" w:cs="Times New Roman"/>
          <w:color w:val="373737"/>
          <w:sz w:val="24"/>
          <w:szCs w:val="24"/>
          <w:shd w:val="clear" w:color="auto" w:fill="FFFFFF"/>
        </w:rPr>
        <w:t xml:space="preserve">which include standards </w:t>
      </w:r>
      <w:r w:rsidRPr="008B0890">
        <w:rPr>
          <w:rFonts w:ascii="Times New Roman" w:hAnsi="Times New Roman" w:cs="Times New Roman"/>
          <w:color w:val="373737"/>
          <w:sz w:val="24"/>
          <w:szCs w:val="24"/>
          <w:shd w:val="clear" w:color="auto" w:fill="FFFFFF"/>
        </w:rPr>
        <w:t>that is</w:t>
      </w:r>
      <w:r w:rsidR="00822498" w:rsidRPr="008B0890">
        <w:rPr>
          <w:rFonts w:ascii="Times New Roman" w:hAnsi="Times New Roman" w:cs="Times New Roman"/>
          <w:color w:val="373737"/>
          <w:sz w:val="24"/>
          <w:szCs w:val="24"/>
          <w:shd w:val="clear" w:color="auto" w:fill="FFFFFF"/>
        </w:rPr>
        <w:t xml:space="preserve"> hard </w:t>
      </w:r>
      <w:r w:rsidRPr="008B0890">
        <w:rPr>
          <w:rFonts w:ascii="Times New Roman" w:hAnsi="Times New Roman" w:cs="Times New Roman"/>
          <w:color w:val="373737"/>
          <w:sz w:val="24"/>
          <w:szCs w:val="24"/>
          <w:shd w:val="clear" w:color="auto" w:fill="FFFFFF"/>
        </w:rPr>
        <w:t>to meet</w:t>
      </w:r>
      <w:r w:rsidR="00822498" w:rsidRPr="008B0890">
        <w:rPr>
          <w:rFonts w:ascii="Times New Roman" w:hAnsi="Times New Roman" w:cs="Times New Roman"/>
          <w:color w:val="373737"/>
          <w:sz w:val="24"/>
          <w:szCs w:val="24"/>
          <w:shd w:val="clear" w:color="auto" w:fill="FFFFFF"/>
        </w:rPr>
        <w:t xml:space="preserve"> by foreign countries.</w:t>
      </w:r>
    </w:p>
    <w:p w:rsidR="00C857DA" w:rsidRPr="008B0890" w:rsidRDefault="005A643B" w:rsidP="008B0890">
      <w:pPr>
        <w:spacing w:line="480" w:lineRule="auto"/>
        <w:rPr>
          <w:rFonts w:ascii="Times New Roman" w:hAnsi="Times New Roman" w:cs="Times New Roman"/>
          <w:b/>
          <w:sz w:val="24"/>
          <w:szCs w:val="24"/>
          <w:u w:val="single"/>
        </w:rPr>
      </w:pPr>
      <w:r w:rsidRPr="008B0890">
        <w:rPr>
          <w:rFonts w:ascii="Times New Roman" w:hAnsi="Times New Roman" w:cs="Times New Roman"/>
          <w:b/>
          <w:sz w:val="24"/>
          <w:szCs w:val="24"/>
          <w:u w:val="single"/>
        </w:rPr>
        <w:t>Trade barriers in South African Wine Industry</w:t>
      </w:r>
    </w:p>
    <w:p w:rsidR="00927B67" w:rsidRPr="008B0890" w:rsidRDefault="000E32AA" w:rsidP="008B0890">
      <w:pPr>
        <w:spacing w:line="480" w:lineRule="auto"/>
        <w:rPr>
          <w:rFonts w:ascii="Times New Roman" w:hAnsi="Times New Roman" w:cs="Times New Roman"/>
          <w:b/>
          <w:sz w:val="24"/>
          <w:szCs w:val="24"/>
          <w:u w:val="single"/>
        </w:rPr>
      </w:pPr>
      <w:r w:rsidRPr="008B0890">
        <w:rPr>
          <w:rFonts w:ascii="Times New Roman" w:hAnsi="Times New Roman" w:cs="Times New Roman"/>
          <w:b/>
          <w:sz w:val="24"/>
          <w:szCs w:val="24"/>
          <w:u w:val="single"/>
        </w:rPr>
        <w:t>Little or no w</w:t>
      </w:r>
      <w:r w:rsidR="00927B67" w:rsidRPr="008B0890">
        <w:rPr>
          <w:rFonts w:ascii="Times New Roman" w:hAnsi="Times New Roman" w:cs="Times New Roman"/>
          <w:b/>
          <w:sz w:val="24"/>
          <w:szCs w:val="24"/>
          <w:u w:val="single"/>
        </w:rPr>
        <w:t>ine subsidies</w:t>
      </w:r>
    </w:p>
    <w:p w:rsidR="00EE06F8" w:rsidRPr="008B0890" w:rsidRDefault="00B3512F"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These are</w:t>
      </w:r>
      <w:r w:rsidR="00927B67" w:rsidRPr="008B0890">
        <w:rPr>
          <w:rFonts w:ascii="Times New Roman" w:hAnsi="Times New Roman" w:cs="Times New Roman"/>
          <w:sz w:val="24"/>
          <w:szCs w:val="24"/>
        </w:rPr>
        <w:t xml:space="preserve"> government policies that include programs which support and finance certain aspects of the industry. The wine industry </w:t>
      </w:r>
      <w:r w:rsidRPr="008B0890">
        <w:rPr>
          <w:rFonts w:ascii="Times New Roman" w:hAnsi="Times New Roman" w:cs="Times New Roman"/>
          <w:sz w:val="24"/>
          <w:szCs w:val="24"/>
        </w:rPr>
        <w:t>in South Africa although it benefits from some of forms of policies there is so much more that can be done compared to other players in the industry. Countries like the United States have levied heavy measures to importation of wine to also improve their local market they have put high taxes in the exportation of wine to other countries apart from Canada. If South Africa could borrow a leaf from china and the US in investigating better ways to offer the wine industry relief in terms of taxation and other forms of incentives it will do a great deal in ensuring sustainability of the market.</w:t>
      </w:r>
      <w:r w:rsidR="00EE06F8" w:rsidRPr="008B0890">
        <w:rPr>
          <w:rFonts w:ascii="Times New Roman" w:hAnsi="Times New Roman" w:cs="Times New Roman"/>
          <w:sz w:val="24"/>
          <w:szCs w:val="24"/>
        </w:rPr>
        <w:t xml:space="preserve"> </w:t>
      </w:r>
    </w:p>
    <w:p w:rsidR="00927B67" w:rsidRPr="008B0890" w:rsidRDefault="00EE06F8"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 xml:space="preserve">Most competitors from Europe enjoy subsidy. </w:t>
      </w:r>
      <w:r w:rsidRPr="008B0890">
        <w:rPr>
          <w:rStyle w:val="fontstyle01"/>
          <w:rFonts w:ascii="Times New Roman" w:hAnsi="Times New Roman" w:cs="Times New Roman"/>
          <w:sz w:val="24"/>
          <w:szCs w:val="24"/>
        </w:rPr>
        <w:t>European wine producers received $1.3 bil</w:t>
      </w:r>
      <w:r w:rsidRPr="008B0890">
        <w:rPr>
          <w:rStyle w:val="fontstyle01"/>
          <w:rFonts w:ascii="Times New Roman" w:hAnsi="Times New Roman" w:cs="Times New Roman"/>
          <w:sz w:val="24"/>
          <w:szCs w:val="24"/>
        </w:rPr>
        <w:t xml:space="preserve">lion in subsides from the </w:t>
      </w:r>
      <w:r w:rsidRPr="008B0890">
        <w:rPr>
          <w:rStyle w:val="fontstyle01"/>
          <w:rFonts w:ascii="Times New Roman" w:hAnsi="Times New Roman" w:cs="Times New Roman"/>
          <w:sz w:val="24"/>
          <w:szCs w:val="24"/>
        </w:rPr>
        <w:t>European</w:t>
      </w:r>
      <w:r w:rsidRPr="008B0890">
        <w:rPr>
          <w:rFonts w:ascii="Times New Roman" w:hAnsi="Times New Roman" w:cs="Times New Roman"/>
          <w:color w:val="000000"/>
          <w:sz w:val="24"/>
          <w:szCs w:val="24"/>
        </w:rPr>
        <w:t xml:space="preserve"> </w:t>
      </w:r>
      <w:r w:rsidRPr="008B0890">
        <w:rPr>
          <w:rStyle w:val="fontstyle01"/>
          <w:rFonts w:ascii="Times New Roman" w:hAnsi="Times New Roman" w:cs="Times New Roman"/>
          <w:sz w:val="24"/>
          <w:szCs w:val="24"/>
        </w:rPr>
        <w:t>Commission in 2009</w:t>
      </w:r>
      <w:r w:rsidRPr="008B0890">
        <w:rPr>
          <w:rStyle w:val="fontstyle01"/>
          <w:rFonts w:ascii="Times New Roman" w:hAnsi="Times New Roman" w:cs="Times New Roman"/>
          <w:sz w:val="24"/>
          <w:szCs w:val="24"/>
        </w:rPr>
        <w:t>. This gives them an upper hand in market competition, as they are able to operate at a lower cost.</w:t>
      </w:r>
    </w:p>
    <w:p w:rsidR="008A436C" w:rsidRPr="008B0890" w:rsidRDefault="008A436C" w:rsidP="008B0890">
      <w:pPr>
        <w:spacing w:line="480" w:lineRule="auto"/>
        <w:rPr>
          <w:rFonts w:ascii="Times New Roman" w:hAnsi="Times New Roman" w:cs="Times New Roman"/>
          <w:b/>
          <w:sz w:val="24"/>
          <w:szCs w:val="24"/>
          <w:u w:val="single"/>
        </w:rPr>
      </w:pPr>
      <w:r w:rsidRPr="008B0890">
        <w:rPr>
          <w:rFonts w:ascii="Times New Roman" w:hAnsi="Times New Roman" w:cs="Times New Roman"/>
          <w:b/>
          <w:sz w:val="24"/>
          <w:szCs w:val="24"/>
          <w:u w:val="single"/>
        </w:rPr>
        <w:t>Preferential Market access</w:t>
      </w:r>
      <w:r w:rsidR="000E32AA" w:rsidRPr="008B0890">
        <w:rPr>
          <w:rFonts w:ascii="Times New Roman" w:hAnsi="Times New Roman" w:cs="Times New Roman"/>
          <w:b/>
          <w:sz w:val="24"/>
          <w:szCs w:val="24"/>
          <w:u w:val="single"/>
        </w:rPr>
        <w:t xml:space="preserve"> from competitors</w:t>
      </w:r>
    </w:p>
    <w:p w:rsidR="00822498" w:rsidRPr="008B0890" w:rsidRDefault="000E32AA"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This</w:t>
      </w:r>
      <w:r w:rsidRPr="008B0890">
        <w:rPr>
          <w:rFonts w:ascii="Times New Roman" w:hAnsi="Times New Roman" w:cs="Times New Roman"/>
          <w:b/>
          <w:sz w:val="24"/>
          <w:szCs w:val="24"/>
        </w:rPr>
        <w:t xml:space="preserve"> </w:t>
      </w:r>
      <w:r w:rsidRPr="008B0890">
        <w:rPr>
          <w:rFonts w:ascii="Times New Roman" w:hAnsi="Times New Roman" w:cs="Times New Roman"/>
          <w:sz w:val="24"/>
          <w:szCs w:val="24"/>
        </w:rPr>
        <w:t xml:space="preserve">is the capability of South African wine industry to sign deals to either remove tariffs of trade with markets that consume their wine products in exchange for free trade. This helps </w:t>
      </w:r>
      <w:r w:rsidRPr="008B0890">
        <w:rPr>
          <w:rFonts w:ascii="Times New Roman" w:hAnsi="Times New Roman" w:cs="Times New Roman"/>
          <w:sz w:val="24"/>
          <w:szCs w:val="24"/>
        </w:rPr>
        <w:lastRenderedPageBreak/>
        <w:t>reduce taxation in imports and exports and hence tolerate cohesive growth. Bilateral agreements help markets to grow and this is the same to the wine industry. Competition between countries that produce the same product is reduced since free trade is in place and hence the cost of the wine is highly reduced. Countries like the USA and Canada enjoy such privileges and thus make it hard for a country like South Africa to penetrate such a market.</w:t>
      </w:r>
    </w:p>
    <w:p w:rsidR="008A436C" w:rsidRPr="008B0890" w:rsidRDefault="0057197C" w:rsidP="008B0890">
      <w:pPr>
        <w:spacing w:line="480" w:lineRule="auto"/>
        <w:rPr>
          <w:rFonts w:ascii="Times New Roman" w:hAnsi="Times New Roman" w:cs="Times New Roman"/>
          <w:b/>
          <w:sz w:val="24"/>
          <w:szCs w:val="24"/>
          <w:u w:val="single"/>
        </w:rPr>
      </w:pPr>
      <w:r w:rsidRPr="008B0890">
        <w:rPr>
          <w:rFonts w:ascii="Times New Roman" w:hAnsi="Times New Roman" w:cs="Times New Roman"/>
          <w:b/>
          <w:sz w:val="24"/>
          <w:szCs w:val="24"/>
          <w:u w:val="single"/>
        </w:rPr>
        <w:t>Tariff</w:t>
      </w:r>
      <w:r w:rsidR="000E32AA" w:rsidRPr="008B0890">
        <w:rPr>
          <w:rFonts w:ascii="Times New Roman" w:hAnsi="Times New Roman" w:cs="Times New Roman"/>
          <w:b/>
          <w:sz w:val="24"/>
          <w:szCs w:val="24"/>
          <w:u w:val="single"/>
        </w:rPr>
        <w:t xml:space="preserve"> </w:t>
      </w:r>
      <w:r w:rsidRPr="008B0890">
        <w:rPr>
          <w:rFonts w:ascii="Times New Roman" w:hAnsi="Times New Roman" w:cs="Times New Roman"/>
          <w:b/>
          <w:sz w:val="24"/>
          <w:szCs w:val="24"/>
          <w:u w:val="single"/>
        </w:rPr>
        <w:t>Barriers</w:t>
      </w:r>
    </w:p>
    <w:p w:rsidR="000E32AA" w:rsidRPr="008B0890" w:rsidRDefault="000E32AA"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 xml:space="preserve">South Africa is facing a great challenge in this area from all sides </w:t>
      </w:r>
      <w:r w:rsidR="0057197C" w:rsidRPr="008B0890">
        <w:rPr>
          <w:rFonts w:ascii="Times New Roman" w:hAnsi="Times New Roman" w:cs="Times New Roman"/>
          <w:sz w:val="24"/>
          <w:szCs w:val="24"/>
        </w:rPr>
        <w:t>of its</w:t>
      </w:r>
      <w:r w:rsidRPr="008B0890">
        <w:rPr>
          <w:rFonts w:ascii="Times New Roman" w:hAnsi="Times New Roman" w:cs="Times New Roman"/>
          <w:sz w:val="24"/>
          <w:szCs w:val="24"/>
        </w:rPr>
        <w:t xml:space="preserve"> wine </w:t>
      </w:r>
      <w:r w:rsidR="0057197C" w:rsidRPr="008B0890">
        <w:rPr>
          <w:rFonts w:ascii="Times New Roman" w:hAnsi="Times New Roman" w:cs="Times New Roman"/>
          <w:sz w:val="24"/>
          <w:szCs w:val="24"/>
        </w:rPr>
        <w:t>market. These challenges include established wine markets that have wine production such countries include Italy, Spain and France. With such competition South Africa cannot afford to be blocked by restrictions in trade barriers and other government related competitions. With the shift in most countries that produce wine geared towards preferential trade agreements to gain advantageous access to the wine market around the world</w:t>
      </w:r>
      <w:r w:rsidR="00927808" w:rsidRPr="008B0890">
        <w:rPr>
          <w:rFonts w:ascii="Times New Roman" w:hAnsi="Times New Roman" w:cs="Times New Roman"/>
          <w:sz w:val="24"/>
          <w:szCs w:val="24"/>
        </w:rPr>
        <w:t>,</w:t>
      </w:r>
      <w:r w:rsidR="0057197C" w:rsidRPr="008B0890">
        <w:rPr>
          <w:rFonts w:ascii="Times New Roman" w:hAnsi="Times New Roman" w:cs="Times New Roman"/>
          <w:sz w:val="24"/>
          <w:szCs w:val="24"/>
        </w:rPr>
        <w:t xml:space="preserve"> South African wine industry should perhaps pull their forces together in negotiating similar tariff reduction agreements to allow the export of its wine and remain competitive.</w:t>
      </w:r>
    </w:p>
    <w:p w:rsidR="00EE06F8" w:rsidRPr="008B0890" w:rsidRDefault="00EE06F8"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 xml:space="preserve">Import tariff on USA wine (25%) helps domestic companies by reducing competition. Waive export tariff to European </w:t>
      </w:r>
      <w:proofErr w:type="gramStart"/>
      <w:r w:rsidRPr="008B0890">
        <w:rPr>
          <w:rFonts w:ascii="Times New Roman" w:hAnsi="Times New Roman" w:cs="Times New Roman"/>
          <w:sz w:val="24"/>
          <w:szCs w:val="24"/>
        </w:rPr>
        <w:t>union</w:t>
      </w:r>
      <w:proofErr w:type="gramEnd"/>
      <w:r w:rsidRPr="008B0890">
        <w:rPr>
          <w:rFonts w:ascii="Times New Roman" w:hAnsi="Times New Roman" w:cs="Times New Roman"/>
          <w:sz w:val="24"/>
          <w:szCs w:val="24"/>
        </w:rPr>
        <w:t xml:space="preserve">, </w:t>
      </w:r>
      <w:r w:rsidR="008B0890" w:rsidRPr="008B0890">
        <w:rPr>
          <w:rFonts w:ascii="Times New Roman" w:hAnsi="Times New Roman" w:cs="Times New Roman"/>
          <w:sz w:val="24"/>
          <w:szCs w:val="24"/>
        </w:rPr>
        <w:t>SADC and BRICS allows ease access of external markets, thus boosting domestic wine industry.</w:t>
      </w:r>
    </w:p>
    <w:p w:rsidR="0057197C" w:rsidRPr="008B0890" w:rsidRDefault="0057197C" w:rsidP="008B0890">
      <w:pPr>
        <w:spacing w:line="480" w:lineRule="auto"/>
        <w:rPr>
          <w:rFonts w:ascii="Times New Roman" w:hAnsi="Times New Roman" w:cs="Times New Roman"/>
          <w:b/>
          <w:sz w:val="24"/>
          <w:szCs w:val="24"/>
          <w:u w:val="single"/>
        </w:rPr>
      </w:pPr>
      <w:r w:rsidRPr="008B0890">
        <w:rPr>
          <w:rFonts w:ascii="Times New Roman" w:hAnsi="Times New Roman" w:cs="Times New Roman"/>
          <w:b/>
          <w:sz w:val="24"/>
          <w:szCs w:val="24"/>
          <w:u w:val="single"/>
        </w:rPr>
        <w:t xml:space="preserve">Strict </w:t>
      </w:r>
      <w:r w:rsidR="004705A6" w:rsidRPr="008B0890">
        <w:rPr>
          <w:rFonts w:ascii="Times New Roman" w:hAnsi="Times New Roman" w:cs="Times New Roman"/>
          <w:b/>
          <w:sz w:val="24"/>
          <w:szCs w:val="24"/>
          <w:u w:val="single"/>
        </w:rPr>
        <w:t>licensing</w:t>
      </w:r>
      <w:r w:rsidRPr="008B0890">
        <w:rPr>
          <w:rFonts w:ascii="Times New Roman" w:hAnsi="Times New Roman" w:cs="Times New Roman"/>
          <w:b/>
          <w:sz w:val="24"/>
          <w:szCs w:val="24"/>
          <w:u w:val="single"/>
        </w:rPr>
        <w:t xml:space="preserve"> </w:t>
      </w:r>
      <w:r w:rsidR="004705A6" w:rsidRPr="008B0890">
        <w:rPr>
          <w:rFonts w:ascii="Times New Roman" w:hAnsi="Times New Roman" w:cs="Times New Roman"/>
          <w:b/>
          <w:sz w:val="24"/>
          <w:szCs w:val="24"/>
          <w:u w:val="single"/>
        </w:rPr>
        <w:t>requirements</w:t>
      </w:r>
      <w:r w:rsidRPr="008B0890">
        <w:rPr>
          <w:rFonts w:ascii="Times New Roman" w:hAnsi="Times New Roman" w:cs="Times New Roman"/>
          <w:b/>
          <w:sz w:val="24"/>
          <w:szCs w:val="24"/>
          <w:u w:val="single"/>
        </w:rPr>
        <w:t xml:space="preserve"> by major players in the industry</w:t>
      </w:r>
    </w:p>
    <w:p w:rsidR="0057197C" w:rsidRPr="008B0890" w:rsidRDefault="0057197C"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 xml:space="preserve">The wine </w:t>
      </w:r>
      <w:r w:rsidR="004705A6" w:rsidRPr="008B0890">
        <w:rPr>
          <w:rFonts w:ascii="Times New Roman" w:hAnsi="Times New Roman" w:cs="Times New Roman"/>
          <w:sz w:val="24"/>
          <w:szCs w:val="24"/>
        </w:rPr>
        <w:t>market</w:t>
      </w:r>
      <w:r w:rsidRPr="008B0890">
        <w:rPr>
          <w:rFonts w:ascii="Times New Roman" w:hAnsi="Times New Roman" w:cs="Times New Roman"/>
          <w:sz w:val="24"/>
          <w:szCs w:val="24"/>
        </w:rPr>
        <w:t xml:space="preserve"> is greatly covered by the i</w:t>
      </w:r>
      <w:r w:rsidR="004705A6" w:rsidRPr="008B0890">
        <w:rPr>
          <w:rFonts w:ascii="Times New Roman" w:hAnsi="Times New Roman" w:cs="Times New Roman"/>
          <w:sz w:val="24"/>
          <w:szCs w:val="24"/>
        </w:rPr>
        <w:t xml:space="preserve">dea of standards from packaging, quality control, laboratory testing and wine labeling rules. This are factors that directly affect south African market since some countries like the united states and Canada have signed exclusive deals in </w:t>
      </w:r>
      <w:r w:rsidR="004705A6" w:rsidRPr="008B0890">
        <w:rPr>
          <w:rFonts w:ascii="Times New Roman" w:hAnsi="Times New Roman" w:cs="Times New Roman"/>
          <w:sz w:val="24"/>
          <w:szCs w:val="24"/>
        </w:rPr>
        <w:lastRenderedPageBreak/>
        <w:t>wine trade and thus making it hard for wine from south Africa to be imported in such countries. The monopoly of such countries reduces the market share that South African wine can capture.</w:t>
      </w:r>
    </w:p>
    <w:p w:rsidR="004705A6" w:rsidRPr="008B0890" w:rsidRDefault="004705A6" w:rsidP="008B0890">
      <w:pPr>
        <w:spacing w:line="480" w:lineRule="auto"/>
        <w:rPr>
          <w:rFonts w:ascii="Times New Roman" w:hAnsi="Times New Roman" w:cs="Times New Roman"/>
          <w:b/>
          <w:sz w:val="24"/>
          <w:szCs w:val="24"/>
          <w:u w:val="single"/>
        </w:rPr>
      </w:pPr>
      <w:r w:rsidRPr="008B0890">
        <w:rPr>
          <w:rFonts w:ascii="Times New Roman" w:hAnsi="Times New Roman" w:cs="Times New Roman"/>
          <w:b/>
          <w:sz w:val="24"/>
          <w:szCs w:val="24"/>
          <w:u w:val="single"/>
        </w:rPr>
        <w:t>Differences in wine composition</w:t>
      </w:r>
    </w:p>
    <w:p w:rsidR="00822498" w:rsidRPr="008B0890" w:rsidRDefault="004705A6"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 xml:space="preserve">Some players in the industry require </w:t>
      </w:r>
      <w:r w:rsidR="00807A2B" w:rsidRPr="008B0890">
        <w:rPr>
          <w:rFonts w:ascii="Times New Roman" w:hAnsi="Times New Roman" w:cs="Times New Roman"/>
          <w:sz w:val="24"/>
          <w:szCs w:val="24"/>
        </w:rPr>
        <w:t>specific</w:t>
      </w:r>
      <w:r w:rsidRPr="008B0890">
        <w:rPr>
          <w:rFonts w:ascii="Times New Roman" w:hAnsi="Times New Roman" w:cs="Times New Roman"/>
          <w:sz w:val="24"/>
          <w:szCs w:val="24"/>
        </w:rPr>
        <w:t xml:space="preserve"> </w:t>
      </w:r>
      <w:r w:rsidR="00807A2B" w:rsidRPr="008B0890">
        <w:rPr>
          <w:rFonts w:ascii="Times New Roman" w:hAnsi="Times New Roman" w:cs="Times New Roman"/>
          <w:sz w:val="24"/>
          <w:szCs w:val="24"/>
        </w:rPr>
        <w:t>quality which requires laboratory testing and certification. This makes it difficult to meet all market demands since different markets expect different outcomes.</w:t>
      </w:r>
    </w:p>
    <w:p w:rsidR="00807A2B" w:rsidRPr="008B0890" w:rsidRDefault="00822498" w:rsidP="008B0890">
      <w:pPr>
        <w:spacing w:line="480" w:lineRule="auto"/>
        <w:rPr>
          <w:rFonts w:ascii="Times New Roman" w:hAnsi="Times New Roman" w:cs="Times New Roman"/>
          <w:b/>
          <w:sz w:val="24"/>
          <w:szCs w:val="24"/>
          <w:u w:val="single"/>
        </w:rPr>
      </w:pPr>
      <w:r w:rsidRPr="008B0890">
        <w:rPr>
          <w:rFonts w:ascii="Times New Roman" w:hAnsi="Times New Roman" w:cs="Times New Roman"/>
          <w:b/>
          <w:sz w:val="24"/>
          <w:szCs w:val="24"/>
          <w:u w:val="single"/>
        </w:rPr>
        <w:t xml:space="preserve">Impact of </w:t>
      </w:r>
      <w:r w:rsidR="00145907" w:rsidRPr="008B0890">
        <w:rPr>
          <w:rFonts w:ascii="Times New Roman" w:hAnsi="Times New Roman" w:cs="Times New Roman"/>
          <w:b/>
          <w:sz w:val="24"/>
          <w:szCs w:val="24"/>
          <w:u w:val="single"/>
        </w:rPr>
        <w:t xml:space="preserve">free trade </w:t>
      </w:r>
    </w:p>
    <w:p w:rsidR="00145907" w:rsidRPr="008B0890" w:rsidRDefault="00145907"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This is a statistical model build by BFAP</w:t>
      </w:r>
      <w:r w:rsidR="00C1207E" w:rsidRPr="008B0890">
        <w:rPr>
          <w:rFonts w:ascii="Times New Roman" w:hAnsi="Times New Roman" w:cs="Times New Roman"/>
          <w:sz w:val="24"/>
          <w:szCs w:val="24"/>
        </w:rPr>
        <w:t xml:space="preserve"> </w:t>
      </w:r>
      <w:r w:rsidRPr="008B0890">
        <w:rPr>
          <w:rFonts w:ascii="Times New Roman" w:hAnsi="Times New Roman" w:cs="Times New Roman"/>
          <w:sz w:val="24"/>
          <w:szCs w:val="24"/>
        </w:rPr>
        <w:t>(bureau for food and agriculture policy)</w:t>
      </w:r>
      <w:r w:rsidR="00C1207E" w:rsidRPr="008B0890">
        <w:rPr>
          <w:rFonts w:ascii="Times New Roman" w:hAnsi="Times New Roman" w:cs="Times New Roman"/>
          <w:sz w:val="24"/>
          <w:szCs w:val="24"/>
        </w:rPr>
        <w:t xml:space="preserve"> in South Africa</w:t>
      </w:r>
      <w:r w:rsidRPr="008B0890">
        <w:rPr>
          <w:rFonts w:ascii="Times New Roman" w:hAnsi="Times New Roman" w:cs="Times New Roman"/>
          <w:sz w:val="24"/>
          <w:szCs w:val="24"/>
        </w:rPr>
        <w:t>.</w:t>
      </w:r>
    </w:p>
    <w:p w:rsidR="00C1207E" w:rsidRPr="008B0890" w:rsidRDefault="00C1207E" w:rsidP="008B0890">
      <w:pPr>
        <w:spacing w:line="480" w:lineRule="auto"/>
        <w:rPr>
          <w:rFonts w:ascii="Times New Roman" w:hAnsi="Times New Roman" w:cs="Times New Roman"/>
          <w:b/>
          <w:sz w:val="24"/>
          <w:szCs w:val="24"/>
        </w:rPr>
      </w:pPr>
      <w:r w:rsidRPr="008B0890">
        <w:rPr>
          <w:rFonts w:ascii="Times New Roman" w:hAnsi="Times New Roman" w:cs="Times New Roman"/>
          <w:b/>
          <w:sz w:val="24"/>
          <w:szCs w:val="24"/>
        </w:rPr>
        <w:t>Wine Tariffs for a few countries</w:t>
      </w:r>
    </w:p>
    <w:tbl>
      <w:tblPr>
        <w:tblStyle w:val="TableGrid"/>
        <w:tblW w:w="0" w:type="auto"/>
        <w:tblLook w:val="04A0" w:firstRow="1" w:lastRow="0" w:firstColumn="1" w:lastColumn="0" w:noHBand="0" w:noVBand="1"/>
      </w:tblPr>
      <w:tblGrid>
        <w:gridCol w:w="3192"/>
        <w:gridCol w:w="3192"/>
        <w:gridCol w:w="3192"/>
      </w:tblGrid>
      <w:tr w:rsidR="00C1207E" w:rsidRPr="008B0890" w:rsidTr="00C1207E">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COUNTRY</w:t>
            </w:r>
          </w:p>
        </w:tc>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WINE BOTTLES</w:t>
            </w:r>
          </w:p>
        </w:tc>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WINE BULK</w:t>
            </w:r>
          </w:p>
        </w:tc>
      </w:tr>
      <w:tr w:rsidR="00C1207E" w:rsidRPr="008B0890" w:rsidTr="00C1207E">
        <w:tc>
          <w:tcPr>
            <w:tcW w:w="3192" w:type="dxa"/>
          </w:tcPr>
          <w:p w:rsidR="00C1207E" w:rsidRPr="008B0890" w:rsidRDefault="00275FC9"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C</w:t>
            </w:r>
            <w:r w:rsidR="00C1207E" w:rsidRPr="008B0890">
              <w:rPr>
                <w:rFonts w:ascii="Times New Roman" w:hAnsi="Times New Roman" w:cs="Times New Roman"/>
                <w:sz w:val="24"/>
                <w:szCs w:val="24"/>
              </w:rPr>
              <w:t>hina</w:t>
            </w:r>
          </w:p>
        </w:tc>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14%</w:t>
            </w:r>
          </w:p>
        </w:tc>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20%</w:t>
            </w:r>
          </w:p>
        </w:tc>
      </w:tr>
      <w:tr w:rsidR="00C1207E" w:rsidRPr="008B0890" w:rsidTr="00C1207E">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USA</w:t>
            </w:r>
          </w:p>
        </w:tc>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0.73%</w:t>
            </w:r>
          </w:p>
        </w:tc>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w:t>
            </w:r>
          </w:p>
        </w:tc>
      </w:tr>
      <w:tr w:rsidR="00C1207E" w:rsidRPr="008B0890" w:rsidTr="00C1207E">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Angola</w:t>
            </w:r>
          </w:p>
        </w:tc>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30%</w:t>
            </w:r>
          </w:p>
        </w:tc>
        <w:tc>
          <w:tcPr>
            <w:tcW w:w="3192" w:type="dxa"/>
          </w:tcPr>
          <w:p w:rsidR="00C1207E" w:rsidRPr="008B0890" w:rsidRDefault="00C1207E"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30%</w:t>
            </w:r>
          </w:p>
        </w:tc>
      </w:tr>
    </w:tbl>
    <w:p w:rsidR="0021688B" w:rsidRPr="008B0890" w:rsidRDefault="0021688B" w:rsidP="008B0890">
      <w:pPr>
        <w:pStyle w:val="NormalWeb"/>
        <w:shd w:val="clear" w:color="auto" w:fill="FFFFFF"/>
        <w:spacing w:before="0" w:beforeAutospacing="0" w:after="0" w:afterAutospacing="0" w:line="480" w:lineRule="auto"/>
        <w:textAlignment w:val="baseline"/>
        <w:rPr>
          <w:color w:val="666666"/>
          <w:bdr w:val="none" w:sz="0" w:space="0" w:color="auto" w:frame="1"/>
        </w:rPr>
      </w:pPr>
    </w:p>
    <w:p w:rsidR="0021688B" w:rsidRPr="008B0890" w:rsidRDefault="0021688B" w:rsidP="008B0890">
      <w:pPr>
        <w:pStyle w:val="NormalWeb"/>
        <w:shd w:val="clear" w:color="auto" w:fill="FFFFFF"/>
        <w:spacing w:before="0" w:beforeAutospacing="0" w:after="0" w:afterAutospacing="0" w:line="480" w:lineRule="auto"/>
        <w:textAlignment w:val="baseline"/>
        <w:rPr>
          <w:u w:val="single"/>
          <w:bdr w:val="none" w:sz="0" w:space="0" w:color="auto" w:frame="1"/>
        </w:rPr>
      </w:pPr>
      <w:r w:rsidRPr="008B0890">
        <w:rPr>
          <w:u w:val="single"/>
          <w:bdr w:val="none" w:sz="0" w:space="0" w:color="auto" w:frame="1"/>
        </w:rPr>
        <w:t>The Tripartite trade agreement</w:t>
      </w:r>
    </w:p>
    <w:p w:rsidR="00B10DAF" w:rsidRPr="008B0890" w:rsidRDefault="0021688B" w:rsidP="008B0890">
      <w:pPr>
        <w:pStyle w:val="NormalWeb"/>
        <w:shd w:val="clear" w:color="auto" w:fill="FFFFFF"/>
        <w:spacing w:before="0" w:beforeAutospacing="0" w:after="0" w:afterAutospacing="0" w:line="480" w:lineRule="auto"/>
        <w:textAlignment w:val="baseline"/>
      </w:pPr>
      <w:r w:rsidRPr="008B0890">
        <w:rPr>
          <w:bdr w:val="none" w:sz="0" w:space="0" w:color="auto" w:frame="1"/>
        </w:rPr>
        <w:t xml:space="preserve">This was an agreement between SADC, SACU and COMESA and is currently in effect. Participating countries however are not constant while others like Angola and Namibia are yet to take up the </w:t>
      </w:r>
      <w:r w:rsidR="00B10DAF" w:rsidRPr="008B0890">
        <w:rPr>
          <w:bdr w:val="none" w:sz="0" w:space="0" w:color="auto" w:frame="1"/>
        </w:rPr>
        <w:t>agreement.</w:t>
      </w:r>
      <w:r w:rsidR="00B10DAF" w:rsidRPr="008B0890">
        <w:t xml:space="preserve"> To</w:t>
      </w:r>
      <w:r w:rsidR="00C1207E" w:rsidRPr="008B0890">
        <w:t xml:space="preserve"> </w:t>
      </w:r>
      <w:r w:rsidRPr="008B0890">
        <w:t>put on</w:t>
      </w:r>
      <w:r w:rsidR="00C1207E" w:rsidRPr="008B0890">
        <w:t xml:space="preserve"> the </w:t>
      </w:r>
      <w:r w:rsidRPr="008B0890">
        <w:t>effect</w:t>
      </w:r>
      <w:r w:rsidR="00C1207E" w:rsidRPr="008B0890">
        <w:t xml:space="preserve"> of complete tariff </w:t>
      </w:r>
      <w:r w:rsidRPr="008B0890">
        <w:t xml:space="preserve">bargains with </w:t>
      </w:r>
      <w:r w:rsidR="00C1207E" w:rsidRPr="008B0890">
        <w:t>country participation</w:t>
      </w:r>
      <w:r w:rsidRPr="008B0890">
        <w:t xml:space="preserve"> that are fully complying</w:t>
      </w:r>
      <w:r w:rsidR="00C1207E" w:rsidRPr="008B0890">
        <w:t xml:space="preserve"> within the region, tariffs on wine were removed</w:t>
      </w:r>
      <w:r w:rsidR="00B10DAF" w:rsidRPr="008B0890">
        <w:t>.</w:t>
      </w:r>
      <w:r w:rsidR="00C1207E" w:rsidRPr="008B0890">
        <w:t xml:space="preserve"> </w:t>
      </w:r>
      <w:r w:rsidR="00B10DAF" w:rsidRPr="008B0890">
        <w:t>As shown in table above.</w:t>
      </w:r>
    </w:p>
    <w:p w:rsidR="00B10DAF" w:rsidRPr="008B0890" w:rsidRDefault="00B10DAF" w:rsidP="008B0890">
      <w:pPr>
        <w:pStyle w:val="NormalWeb"/>
        <w:shd w:val="clear" w:color="auto" w:fill="FFFFFF"/>
        <w:spacing w:before="0" w:beforeAutospacing="0" w:after="0" w:afterAutospacing="0" w:line="480" w:lineRule="auto"/>
        <w:textAlignment w:val="baseline"/>
      </w:pPr>
      <w:r w:rsidRPr="008B0890">
        <w:lastRenderedPageBreak/>
        <w:t>The outcome brought about eight hundred and seventy thousand liters increase in wine exports in 2016</w:t>
      </w:r>
      <w:r w:rsidR="00275FC9" w:rsidRPr="008B0890">
        <w:t xml:space="preserve"> in relation to the baseline,</w:t>
      </w:r>
      <w:r w:rsidRPr="008B0890">
        <w:t>0.19% of the total wine exports</w:t>
      </w:r>
      <w:r w:rsidR="00275FC9" w:rsidRPr="008B0890">
        <w:t xml:space="preserve"> which reduced significantly to seven hundred and thirty thousand liters an increase from the baseline, 0.13% in 2024 .Over the next nine years projections are said to be 8.6million liters. </w:t>
      </w:r>
    </w:p>
    <w:p w:rsidR="00927808" w:rsidRPr="008B0890" w:rsidRDefault="00927808" w:rsidP="008B0890">
      <w:pPr>
        <w:pStyle w:val="NormalWeb"/>
        <w:shd w:val="clear" w:color="auto" w:fill="FFFFFF"/>
        <w:spacing w:before="0" w:beforeAutospacing="0" w:after="0" w:afterAutospacing="0" w:line="480" w:lineRule="auto"/>
        <w:textAlignment w:val="baseline"/>
      </w:pPr>
    </w:p>
    <w:p w:rsidR="00927808" w:rsidRPr="008B0890" w:rsidRDefault="00927808" w:rsidP="008B0890">
      <w:pPr>
        <w:pStyle w:val="NormalWeb"/>
        <w:shd w:val="clear" w:color="auto" w:fill="FFFFFF"/>
        <w:spacing w:before="0" w:beforeAutospacing="0" w:after="0" w:afterAutospacing="0" w:line="480" w:lineRule="auto"/>
        <w:textAlignment w:val="baseline"/>
      </w:pPr>
    </w:p>
    <w:p w:rsidR="00927808" w:rsidRPr="008B0890" w:rsidRDefault="00927808" w:rsidP="008B0890">
      <w:pPr>
        <w:pStyle w:val="NormalWeb"/>
        <w:shd w:val="clear" w:color="auto" w:fill="FFFFFF"/>
        <w:spacing w:before="0" w:beforeAutospacing="0" w:after="0" w:afterAutospacing="0" w:line="480" w:lineRule="auto"/>
        <w:textAlignment w:val="baseline"/>
      </w:pPr>
    </w:p>
    <w:p w:rsidR="00927808" w:rsidRPr="008B0890" w:rsidRDefault="00927808" w:rsidP="008B0890">
      <w:pPr>
        <w:pStyle w:val="NormalWeb"/>
        <w:shd w:val="clear" w:color="auto" w:fill="FFFFFF"/>
        <w:spacing w:before="0" w:beforeAutospacing="0" w:after="0" w:afterAutospacing="0" w:line="480" w:lineRule="auto"/>
        <w:textAlignment w:val="baseline"/>
      </w:pPr>
    </w:p>
    <w:p w:rsidR="00927808" w:rsidRPr="008B0890" w:rsidRDefault="00927808" w:rsidP="008B0890">
      <w:pPr>
        <w:pStyle w:val="NormalWeb"/>
        <w:shd w:val="clear" w:color="auto" w:fill="FFFFFF"/>
        <w:spacing w:before="0" w:beforeAutospacing="0" w:after="0" w:afterAutospacing="0" w:line="480" w:lineRule="auto"/>
        <w:textAlignment w:val="baseline"/>
        <w:rPr>
          <w:b/>
        </w:rPr>
      </w:pPr>
      <w:r w:rsidRPr="008B0890">
        <w:rPr>
          <w:b/>
        </w:rPr>
        <w:t>Recalculation</w:t>
      </w:r>
    </w:p>
    <w:p w:rsidR="007B694E" w:rsidRPr="008B0890" w:rsidRDefault="007B694E" w:rsidP="008B0890">
      <w:pPr>
        <w:pStyle w:val="NormalWeb"/>
        <w:shd w:val="clear" w:color="auto" w:fill="FFFFFF"/>
        <w:spacing w:before="0" w:beforeAutospacing="0" w:after="0" w:afterAutospacing="0" w:line="480" w:lineRule="auto"/>
        <w:textAlignment w:val="baseline"/>
      </w:pPr>
      <w:r w:rsidRPr="008B0890">
        <w:t xml:space="preserve">The </w:t>
      </w:r>
      <w:r w:rsidR="00692934" w:rsidRPr="008B0890">
        <w:t>bases of these recalculations are</w:t>
      </w:r>
      <w:r w:rsidRPr="008B0890">
        <w:t xml:space="preserve"> based on theory created in my </w:t>
      </w:r>
      <w:r w:rsidR="00692934" w:rsidRPr="008B0890">
        <w:t>arguments above.</w:t>
      </w:r>
    </w:p>
    <w:tbl>
      <w:tblPr>
        <w:tblStyle w:val="TableGrid"/>
        <w:tblW w:w="0" w:type="auto"/>
        <w:tblLook w:val="04A0" w:firstRow="1" w:lastRow="0" w:firstColumn="1" w:lastColumn="0" w:noHBand="0" w:noVBand="1"/>
      </w:tblPr>
      <w:tblGrid>
        <w:gridCol w:w="1915"/>
        <w:gridCol w:w="1915"/>
        <w:gridCol w:w="1915"/>
        <w:gridCol w:w="1915"/>
        <w:gridCol w:w="1916"/>
      </w:tblGrid>
      <w:tr w:rsidR="00170129" w:rsidRPr="008B0890" w:rsidTr="008258C6">
        <w:tc>
          <w:tcPr>
            <w:tcW w:w="1915" w:type="dxa"/>
          </w:tcPr>
          <w:p w:rsidR="00170129" w:rsidRPr="008B0890" w:rsidRDefault="00170129" w:rsidP="008B0890">
            <w:pPr>
              <w:pStyle w:val="NormalWeb"/>
              <w:spacing w:before="0" w:beforeAutospacing="0" w:after="0" w:afterAutospacing="0" w:line="480" w:lineRule="auto"/>
              <w:textAlignment w:val="baseline"/>
            </w:pP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Export tariff to EU and SADC</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Import tariff from USA</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Quota</w:t>
            </w:r>
          </w:p>
          <w:p w:rsidR="00170129" w:rsidRPr="008B0890" w:rsidRDefault="00170129" w:rsidP="008B0890">
            <w:pPr>
              <w:pStyle w:val="NormalWeb"/>
              <w:spacing w:before="0" w:beforeAutospacing="0" w:after="0" w:afterAutospacing="0" w:line="480" w:lineRule="auto"/>
              <w:textAlignment w:val="baseline"/>
            </w:pPr>
            <w:r w:rsidRPr="008B0890">
              <w:t>EU and SADC</w:t>
            </w:r>
          </w:p>
        </w:tc>
        <w:tc>
          <w:tcPr>
            <w:tcW w:w="1916" w:type="dxa"/>
          </w:tcPr>
          <w:p w:rsidR="00170129" w:rsidRPr="008B0890" w:rsidRDefault="00170129" w:rsidP="008B0890">
            <w:pPr>
              <w:pStyle w:val="NormalWeb"/>
              <w:spacing w:before="0" w:beforeAutospacing="0" w:after="0" w:afterAutospacing="0" w:line="480" w:lineRule="auto"/>
              <w:textAlignment w:val="baseline"/>
            </w:pPr>
            <w:r w:rsidRPr="008B0890">
              <w:t>Subsidy(Present in competitors)</w:t>
            </w:r>
          </w:p>
        </w:tc>
      </w:tr>
      <w:tr w:rsidR="00170129" w:rsidRPr="008B0890" w:rsidTr="008258C6">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Current value</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0</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25</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0</w:t>
            </w:r>
          </w:p>
        </w:tc>
        <w:tc>
          <w:tcPr>
            <w:tcW w:w="1916" w:type="dxa"/>
          </w:tcPr>
          <w:p w:rsidR="00170129" w:rsidRPr="008B0890" w:rsidRDefault="00170129" w:rsidP="008B0890">
            <w:pPr>
              <w:pStyle w:val="NormalWeb"/>
              <w:spacing w:before="0" w:beforeAutospacing="0" w:after="0" w:afterAutospacing="0" w:line="480" w:lineRule="auto"/>
              <w:textAlignment w:val="baseline"/>
            </w:pPr>
            <w:r w:rsidRPr="008B0890">
              <w:t>0 in SA</w:t>
            </w:r>
          </w:p>
        </w:tc>
      </w:tr>
      <w:tr w:rsidR="00170129" w:rsidRPr="008B0890" w:rsidTr="008258C6">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 xml:space="preserve">An Increase </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5</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30</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5</w:t>
            </w:r>
          </w:p>
        </w:tc>
        <w:tc>
          <w:tcPr>
            <w:tcW w:w="1916" w:type="dxa"/>
          </w:tcPr>
          <w:p w:rsidR="00170129" w:rsidRPr="008B0890" w:rsidRDefault="00170129" w:rsidP="008B0890">
            <w:pPr>
              <w:pStyle w:val="NormalWeb"/>
              <w:spacing w:before="0" w:beforeAutospacing="0" w:after="0" w:afterAutospacing="0" w:line="480" w:lineRule="auto"/>
              <w:textAlignment w:val="baseline"/>
            </w:pPr>
            <w:r w:rsidRPr="008B0890">
              <w:t>5</w:t>
            </w:r>
          </w:p>
        </w:tc>
      </w:tr>
      <w:tr w:rsidR="00170129" w:rsidRPr="008B0890" w:rsidTr="008258C6">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 xml:space="preserve">A decrease </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n/a</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20</w:t>
            </w:r>
          </w:p>
        </w:tc>
        <w:tc>
          <w:tcPr>
            <w:tcW w:w="1915" w:type="dxa"/>
          </w:tcPr>
          <w:p w:rsidR="00170129" w:rsidRPr="008B0890" w:rsidRDefault="00170129" w:rsidP="008B0890">
            <w:pPr>
              <w:pStyle w:val="NormalWeb"/>
              <w:spacing w:before="0" w:beforeAutospacing="0" w:after="0" w:afterAutospacing="0" w:line="480" w:lineRule="auto"/>
              <w:textAlignment w:val="baseline"/>
            </w:pPr>
            <w:r w:rsidRPr="008B0890">
              <w:t>n/a</w:t>
            </w:r>
          </w:p>
        </w:tc>
        <w:tc>
          <w:tcPr>
            <w:tcW w:w="1916" w:type="dxa"/>
          </w:tcPr>
          <w:p w:rsidR="00170129" w:rsidRPr="008B0890" w:rsidRDefault="00170129" w:rsidP="008B0890">
            <w:pPr>
              <w:pStyle w:val="NormalWeb"/>
              <w:spacing w:before="0" w:beforeAutospacing="0" w:after="0" w:afterAutospacing="0" w:line="480" w:lineRule="auto"/>
              <w:textAlignment w:val="baseline"/>
            </w:pPr>
            <w:r w:rsidRPr="008B0890">
              <w:t>n./a</w:t>
            </w:r>
          </w:p>
        </w:tc>
      </w:tr>
    </w:tbl>
    <w:p w:rsidR="00170129" w:rsidRPr="008B0890" w:rsidRDefault="00170129" w:rsidP="008B0890">
      <w:pPr>
        <w:pStyle w:val="NormalWeb"/>
        <w:shd w:val="clear" w:color="auto" w:fill="FFFFFF"/>
        <w:spacing w:before="0" w:beforeAutospacing="0" w:after="0" w:afterAutospacing="0" w:line="480" w:lineRule="auto"/>
        <w:textAlignment w:val="baseline"/>
      </w:pPr>
    </w:p>
    <w:p w:rsidR="00170129" w:rsidRPr="008B0890" w:rsidRDefault="00170129" w:rsidP="008B0890">
      <w:pPr>
        <w:pStyle w:val="NormalWeb"/>
        <w:shd w:val="clear" w:color="auto" w:fill="FFFFFF"/>
        <w:spacing w:before="0" w:beforeAutospacing="0" w:after="0" w:afterAutospacing="0" w:line="480" w:lineRule="auto"/>
        <w:textAlignment w:val="baseline"/>
      </w:pPr>
      <w:r w:rsidRPr="008B0890">
        <w:t>(All current data for 2012)</w:t>
      </w:r>
    </w:p>
    <w:p w:rsidR="00170129" w:rsidRPr="008B0890" w:rsidRDefault="00170129" w:rsidP="008B0890">
      <w:pPr>
        <w:pStyle w:val="NormalWeb"/>
        <w:shd w:val="clear" w:color="auto" w:fill="FFFFFF"/>
        <w:spacing w:before="0" w:beforeAutospacing="0" w:after="0" w:afterAutospacing="0" w:line="480" w:lineRule="auto"/>
        <w:textAlignment w:val="baseline"/>
      </w:pPr>
    </w:p>
    <w:p w:rsidR="007B694E" w:rsidRPr="008B0890" w:rsidRDefault="007B694E" w:rsidP="008B0890">
      <w:pPr>
        <w:pStyle w:val="NormalWeb"/>
        <w:numPr>
          <w:ilvl w:val="0"/>
          <w:numId w:val="2"/>
        </w:numPr>
        <w:shd w:val="clear" w:color="auto" w:fill="FFFFFF"/>
        <w:spacing w:before="0" w:beforeAutospacing="0" w:after="0" w:afterAutospacing="0" w:line="480" w:lineRule="auto"/>
        <w:textAlignment w:val="baseline"/>
      </w:pPr>
      <w:r w:rsidRPr="008B0890">
        <w:t xml:space="preserve">Calculate the effect of the change of a tariff on your particular industry. Illustrate the change visually in a chart. </w:t>
      </w:r>
    </w:p>
    <w:p w:rsidR="00692934" w:rsidRPr="008B0890" w:rsidRDefault="00692934" w:rsidP="008B0890">
      <w:pPr>
        <w:pStyle w:val="NormalWeb"/>
        <w:shd w:val="clear" w:color="auto" w:fill="FFFFFF"/>
        <w:spacing w:before="0" w:beforeAutospacing="0" w:after="0" w:afterAutospacing="0" w:line="480" w:lineRule="auto"/>
        <w:textAlignment w:val="baseline"/>
      </w:pPr>
      <w:r w:rsidRPr="008B0890">
        <w:t>Here, a decrease in export tariff increases quantity of wine exported, e.g. to European countries due to waived tariff following an agreement with European Union.</w:t>
      </w:r>
    </w:p>
    <w:p w:rsidR="00170129" w:rsidRPr="008B0890" w:rsidRDefault="00692934" w:rsidP="008B0890">
      <w:pPr>
        <w:pStyle w:val="NormalWeb"/>
        <w:shd w:val="clear" w:color="auto" w:fill="FFFFFF"/>
        <w:spacing w:before="0" w:beforeAutospacing="0" w:after="0" w:afterAutospacing="0" w:line="480" w:lineRule="auto"/>
        <w:textAlignment w:val="baseline"/>
      </w:pPr>
      <w:r w:rsidRPr="008B0890">
        <w:lastRenderedPageBreak/>
        <w:t xml:space="preserve">An increase in import tariff on wine imported from USA leads to decreased quantity of wine imported to South Africa, reducing competition. </w:t>
      </w:r>
    </w:p>
    <w:p w:rsidR="00912ACC" w:rsidRPr="008B0890" w:rsidRDefault="00912ACC" w:rsidP="008B0890">
      <w:pPr>
        <w:pStyle w:val="NormalWeb"/>
        <w:shd w:val="clear" w:color="auto" w:fill="FFFFFF"/>
        <w:spacing w:before="0" w:beforeAutospacing="0" w:after="0" w:afterAutospacing="0" w:line="480" w:lineRule="auto"/>
        <w:textAlignment w:val="baseline"/>
      </w:pPr>
      <w:r w:rsidRPr="008B0890">
        <w:t>Wine importation tariff e.g. 25 % on wine from USA, positively affect domestic production</w:t>
      </w:r>
    </w:p>
    <w:p w:rsidR="00912ACC" w:rsidRPr="008B0890" w:rsidRDefault="00912ACC" w:rsidP="008B0890">
      <w:pPr>
        <w:pStyle w:val="NormalWeb"/>
        <w:shd w:val="clear" w:color="auto" w:fill="FFFFFF"/>
        <w:spacing w:before="0" w:beforeAutospacing="0" w:after="0" w:afterAutospacing="0" w:line="480" w:lineRule="auto"/>
        <w:textAlignment w:val="baseline"/>
      </w:pPr>
      <w:r w:rsidRPr="008B0890">
        <w:rPr>
          <w:noProof/>
        </w:rPr>
        <w:drawing>
          <wp:inline distT="0" distB="0" distL="0" distR="0" wp14:anchorId="3566704E" wp14:editId="35EF3A2D">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2ACC" w:rsidRPr="008B0890" w:rsidRDefault="00912ACC" w:rsidP="008B0890">
      <w:pPr>
        <w:pStyle w:val="NormalWeb"/>
        <w:shd w:val="clear" w:color="auto" w:fill="FFFFFF"/>
        <w:spacing w:before="0" w:beforeAutospacing="0" w:after="0" w:afterAutospacing="0" w:line="480" w:lineRule="auto"/>
        <w:textAlignment w:val="baseline"/>
      </w:pPr>
    </w:p>
    <w:p w:rsidR="00912ACC" w:rsidRPr="008B0890" w:rsidRDefault="00912ACC" w:rsidP="008B0890">
      <w:pPr>
        <w:pStyle w:val="NormalWeb"/>
        <w:shd w:val="clear" w:color="auto" w:fill="FFFFFF"/>
        <w:spacing w:before="0" w:beforeAutospacing="0" w:after="0" w:afterAutospacing="0" w:line="480" w:lineRule="auto"/>
        <w:textAlignment w:val="baseline"/>
      </w:pPr>
    </w:p>
    <w:p w:rsidR="00170129" w:rsidRPr="008B0890" w:rsidRDefault="00912ACC" w:rsidP="008B0890">
      <w:pPr>
        <w:pStyle w:val="NormalWeb"/>
        <w:shd w:val="clear" w:color="auto" w:fill="FFFFFF"/>
        <w:spacing w:before="0" w:beforeAutospacing="0" w:after="0" w:afterAutospacing="0" w:line="480" w:lineRule="auto"/>
        <w:textAlignment w:val="baseline"/>
      </w:pPr>
      <w:r w:rsidRPr="008B0890">
        <w:t>Export tariff negatively affect domestic production</w:t>
      </w:r>
    </w:p>
    <w:p w:rsidR="00692934" w:rsidRPr="008B0890" w:rsidRDefault="00170129" w:rsidP="008B0890">
      <w:pPr>
        <w:pStyle w:val="NormalWeb"/>
        <w:shd w:val="clear" w:color="auto" w:fill="FFFFFF"/>
        <w:spacing w:before="0" w:beforeAutospacing="0" w:after="0" w:afterAutospacing="0" w:line="480" w:lineRule="auto"/>
        <w:textAlignment w:val="baseline"/>
      </w:pPr>
      <w:r w:rsidRPr="008B0890">
        <w:rPr>
          <w:noProof/>
        </w:rPr>
        <w:lastRenderedPageBreak/>
        <w:drawing>
          <wp:inline distT="0" distB="0" distL="0" distR="0" wp14:anchorId="3597A205" wp14:editId="152F7335">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92934" w:rsidRPr="008B0890">
        <w:t xml:space="preserve"> </w:t>
      </w:r>
    </w:p>
    <w:p w:rsidR="00692934" w:rsidRPr="008B0890" w:rsidRDefault="00692934" w:rsidP="008B0890">
      <w:pPr>
        <w:pStyle w:val="NormalWeb"/>
        <w:shd w:val="clear" w:color="auto" w:fill="FFFFFF"/>
        <w:spacing w:before="0" w:beforeAutospacing="0" w:after="0" w:afterAutospacing="0" w:line="480" w:lineRule="auto"/>
        <w:textAlignment w:val="baseline"/>
      </w:pPr>
    </w:p>
    <w:p w:rsidR="007B694E" w:rsidRPr="008B0890" w:rsidRDefault="007B694E" w:rsidP="008B0890">
      <w:pPr>
        <w:pStyle w:val="NormalWeb"/>
        <w:shd w:val="clear" w:color="auto" w:fill="FFFFFF"/>
        <w:spacing w:before="0" w:beforeAutospacing="0" w:after="0" w:afterAutospacing="0" w:line="480" w:lineRule="auto"/>
        <w:textAlignment w:val="baseline"/>
      </w:pPr>
    </w:p>
    <w:p w:rsidR="007B694E" w:rsidRPr="008B0890" w:rsidRDefault="007B694E" w:rsidP="008B0890">
      <w:pPr>
        <w:pStyle w:val="NormalWeb"/>
        <w:numPr>
          <w:ilvl w:val="0"/>
          <w:numId w:val="2"/>
        </w:numPr>
        <w:shd w:val="clear" w:color="auto" w:fill="FFFFFF"/>
        <w:spacing w:before="0" w:beforeAutospacing="0" w:after="0" w:afterAutospacing="0" w:line="480" w:lineRule="auto"/>
        <w:textAlignment w:val="baseline"/>
      </w:pPr>
      <w:r w:rsidRPr="008B0890">
        <w:t xml:space="preserve">Calculate the effect of the change of a quota on your particular industry. Illustrate the change visually in a chart. </w:t>
      </w:r>
    </w:p>
    <w:p w:rsidR="007357AB" w:rsidRPr="008B0890" w:rsidRDefault="007357AB" w:rsidP="008B0890">
      <w:pPr>
        <w:pStyle w:val="NormalWeb"/>
        <w:shd w:val="clear" w:color="auto" w:fill="FFFFFF"/>
        <w:spacing w:before="0" w:beforeAutospacing="0" w:after="0" w:afterAutospacing="0" w:line="480" w:lineRule="auto"/>
        <w:textAlignment w:val="baseline"/>
      </w:pPr>
      <w:r w:rsidRPr="008B0890">
        <w:t xml:space="preserve">Quota will limit amount of wine exported and thus quantity produced. Currently there is no quota on South African wine in European Union and SADC. This is a positive factor towards </w:t>
      </w:r>
      <w:r w:rsidR="00170129" w:rsidRPr="008B0890">
        <w:t>increased</w:t>
      </w:r>
      <w:r w:rsidRPr="008B0890">
        <w:t xml:space="preserve"> production of wine in SA.</w:t>
      </w:r>
      <w:r w:rsidR="00912ACC" w:rsidRPr="008B0890">
        <w:t xml:space="preserve"> </w:t>
      </w:r>
    </w:p>
    <w:p w:rsidR="00912ACC" w:rsidRPr="008B0890" w:rsidRDefault="00912ACC" w:rsidP="008B0890">
      <w:pPr>
        <w:pStyle w:val="NormalWeb"/>
        <w:shd w:val="clear" w:color="auto" w:fill="FFFFFF"/>
        <w:spacing w:before="0" w:beforeAutospacing="0" w:after="0" w:afterAutospacing="0" w:line="480" w:lineRule="auto"/>
        <w:textAlignment w:val="baseline"/>
      </w:pPr>
      <w:r w:rsidRPr="008B0890">
        <w:t>Quota negatively impact domestic production</w:t>
      </w:r>
    </w:p>
    <w:p w:rsidR="007357AB" w:rsidRPr="008B0890" w:rsidRDefault="00170129" w:rsidP="008B0890">
      <w:pPr>
        <w:pStyle w:val="NormalWeb"/>
        <w:shd w:val="clear" w:color="auto" w:fill="FFFFFF"/>
        <w:spacing w:before="0" w:beforeAutospacing="0" w:after="0" w:afterAutospacing="0" w:line="480" w:lineRule="auto"/>
        <w:textAlignment w:val="baseline"/>
      </w:pPr>
      <w:r w:rsidRPr="008B0890">
        <w:rPr>
          <w:noProof/>
        </w:rPr>
        <w:lastRenderedPageBreak/>
        <w:drawing>
          <wp:inline distT="0" distB="0" distL="0" distR="0" wp14:anchorId="5863867A" wp14:editId="7D2AE86F">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357AB" w:rsidRPr="008B0890" w:rsidRDefault="007357AB" w:rsidP="008B0890">
      <w:pPr>
        <w:pStyle w:val="NormalWeb"/>
        <w:shd w:val="clear" w:color="auto" w:fill="FFFFFF"/>
        <w:spacing w:before="0" w:beforeAutospacing="0" w:after="0" w:afterAutospacing="0" w:line="480" w:lineRule="auto"/>
        <w:textAlignment w:val="baseline"/>
      </w:pPr>
    </w:p>
    <w:p w:rsidR="00927808" w:rsidRPr="008B0890" w:rsidRDefault="007B694E" w:rsidP="008B0890">
      <w:pPr>
        <w:pStyle w:val="NormalWeb"/>
        <w:shd w:val="clear" w:color="auto" w:fill="FFFFFF"/>
        <w:spacing w:before="0" w:beforeAutospacing="0" w:after="0" w:afterAutospacing="0" w:line="480" w:lineRule="auto"/>
        <w:textAlignment w:val="baseline"/>
      </w:pPr>
      <w:r w:rsidRPr="008B0890">
        <w:t>C. Calculate the effect of the change of a government subsidy on the overall GDP. Illustrate the change visually in a chart.</w:t>
      </w:r>
    </w:p>
    <w:p w:rsidR="007357AB" w:rsidRPr="008B0890" w:rsidRDefault="007357AB" w:rsidP="008B0890">
      <w:pPr>
        <w:pStyle w:val="NormalWeb"/>
        <w:shd w:val="clear" w:color="auto" w:fill="FFFFFF"/>
        <w:spacing w:before="0" w:beforeAutospacing="0" w:after="0" w:afterAutospacing="0" w:line="480" w:lineRule="auto"/>
        <w:textAlignment w:val="baseline"/>
      </w:pPr>
    </w:p>
    <w:p w:rsidR="00912ACC" w:rsidRPr="008B0890" w:rsidRDefault="002039D6" w:rsidP="008B0890">
      <w:pPr>
        <w:pStyle w:val="NormalWeb"/>
        <w:shd w:val="clear" w:color="auto" w:fill="FFFFFF"/>
        <w:spacing w:before="0" w:beforeAutospacing="0" w:after="0" w:afterAutospacing="0" w:line="480" w:lineRule="auto"/>
        <w:textAlignment w:val="baseline"/>
      </w:pPr>
      <w:r w:rsidRPr="008B0890">
        <w:t>Subsidy will, if accepted by the SA government, allow for the wine industry to operate at a relatively lower cost making them competitive. The competitors from Europe and Canada for example</w:t>
      </w:r>
      <w:r w:rsidR="004C6154" w:rsidRPr="008B0890">
        <w:t>,</w:t>
      </w:r>
      <w:r w:rsidRPr="008B0890">
        <w:t xml:space="preserve"> enjoy the added advantage of subsidy</w:t>
      </w:r>
      <w:r w:rsidR="004C6154" w:rsidRPr="008B0890">
        <w:t>.</w:t>
      </w:r>
    </w:p>
    <w:p w:rsidR="00912ACC" w:rsidRPr="008B0890" w:rsidRDefault="00912ACC" w:rsidP="008B0890">
      <w:pPr>
        <w:pStyle w:val="NormalWeb"/>
        <w:shd w:val="clear" w:color="auto" w:fill="FFFFFF"/>
        <w:spacing w:before="0" w:beforeAutospacing="0" w:after="0" w:afterAutospacing="0" w:line="480" w:lineRule="auto"/>
        <w:textAlignment w:val="baseline"/>
      </w:pPr>
    </w:p>
    <w:p w:rsidR="002039D6" w:rsidRPr="008B0890" w:rsidRDefault="00912ACC" w:rsidP="008B0890">
      <w:pPr>
        <w:pStyle w:val="NormalWeb"/>
        <w:shd w:val="clear" w:color="auto" w:fill="FFFFFF"/>
        <w:spacing w:before="0" w:beforeAutospacing="0" w:after="0" w:afterAutospacing="0" w:line="480" w:lineRule="auto"/>
        <w:textAlignment w:val="baseline"/>
        <w:rPr>
          <w:bdr w:val="none" w:sz="0" w:space="0" w:color="auto" w:frame="1"/>
        </w:rPr>
      </w:pPr>
      <w:r w:rsidRPr="008B0890">
        <w:lastRenderedPageBreak/>
        <w:t>Subsidy positively impact domestic production</w:t>
      </w:r>
      <w:r w:rsidR="002039D6" w:rsidRPr="008B0890">
        <w:rPr>
          <w:noProof/>
          <w:bdr w:val="none" w:sz="0" w:space="0" w:color="auto" w:frame="1"/>
        </w:rPr>
        <w:drawing>
          <wp:inline distT="0" distB="0" distL="0" distR="0" wp14:anchorId="7223DCA9" wp14:editId="64D546A3">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5FC9" w:rsidRPr="008B0890" w:rsidRDefault="00275FC9" w:rsidP="008B0890">
      <w:pPr>
        <w:spacing w:line="480" w:lineRule="auto"/>
        <w:rPr>
          <w:rFonts w:ascii="Times New Roman" w:hAnsi="Times New Roman" w:cs="Times New Roman"/>
          <w:sz w:val="24"/>
          <w:szCs w:val="24"/>
        </w:rPr>
      </w:pPr>
    </w:p>
    <w:p w:rsidR="004C6154" w:rsidRPr="008B0890" w:rsidRDefault="004C6154"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 xml:space="preserve">Subsidy will increase production of Wine in SA. Wine contributes </w:t>
      </w:r>
      <w:r w:rsidR="007357AB" w:rsidRPr="008B0890">
        <w:rPr>
          <w:rFonts w:ascii="Times New Roman" w:hAnsi="Times New Roman" w:cs="Times New Roman"/>
          <w:sz w:val="24"/>
          <w:szCs w:val="24"/>
        </w:rPr>
        <w:t>1.3 % of SA GDP. It is thus an important contributor of country’s revenue and an increase of its production via subsidy will positively impact GDP.</w:t>
      </w:r>
    </w:p>
    <w:p w:rsidR="007357AB" w:rsidRPr="008B0890" w:rsidRDefault="007357AB" w:rsidP="008B0890">
      <w:pPr>
        <w:spacing w:line="480" w:lineRule="auto"/>
        <w:rPr>
          <w:rFonts w:ascii="Times New Roman" w:hAnsi="Times New Roman" w:cs="Times New Roman"/>
          <w:sz w:val="24"/>
          <w:szCs w:val="24"/>
        </w:rPr>
      </w:pPr>
      <w:r w:rsidRPr="008B0890">
        <w:rPr>
          <w:rFonts w:ascii="Times New Roman" w:hAnsi="Times New Roman" w:cs="Times New Roman"/>
          <w:noProof/>
          <w:sz w:val="24"/>
          <w:szCs w:val="24"/>
        </w:rPr>
        <w:lastRenderedPageBreak/>
        <w:drawing>
          <wp:inline distT="0" distB="0" distL="0" distR="0" wp14:anchorId="6503D62C" wp14:editId="5F3C3298">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5FC9" w:rsidRPr="008B0890" w:rsidRDefault="00275FC9" w:rsidP="008B0890">
      <w:pPr>
        <w:spacing w:line="480" w:lineRule="auto"/>
        <w:rPr>
          <w:rFonts w:ascii="Times New Roman" w:hAnsi="Times New Roman" w:cs="Times New Roman"/>
          <w:sz w:val="24"/>
          <w:szCs w:val="24"/>
        </w:rPr>
      </w:pPr>
    </w:p>
    <w:p w:rsidR="0023770A" w:rsidRPr="008B0890" w:rsidRDefault="0023770A" w:rsidP="008B0890">
      <w:pPr>
        <w:spacing w:line="480" w:lineRule="auto"/>
        <w:rPr>
          <w:rFonts w:ascii="Times New Roman" w:hAnsi="Times New Roman" w:cs="Times New Roman"/>
          <w:sz w:val="24"/>
          <w:szCs w:val="24"/>
        </w:rPr>
      </w:pPr>
      <w:r w:rsidRPr="008B0890">
        <w:rPr>
          <w:rFonts w:ascii="Times New Roman" w:hAnsi="Times New Roman" w:cs="Times New Roman"/>
          <w:sz w:val="24"/>
          <w:szCs w:val="24"/>
        </w:rPr>
        <w:t>.</w:t>
      </w:r>
    </w:p>
    <w:sdt>
      <w:sdtPr>
        <w:rPr>
          <w:rFonts w:ascii="Times New Roman" w:eastAsiaTheme="minorHAnsi" w:hAnsi="Times New Roman" w:cs="Times New Roman"/>
          <w:b w:val="0"/>
          <w:bCs w:val="0"/>
          <w:color w:val="auto"/>
          <w:sz w:val="24"/>
          <w:szCs w:val="24"/>
          <w:lang w:eastAsia="en-US"/>
        </w:rPr>
        <w:id w:val="443818424"/>
        <w:docPartObj>
          <w:docPartGallery w:val="Bibliographies"/>
          <w:docPartUnique/>
        </w:docPartObj>
      </w:sdtPr>
      <w:sdtContent>
        <w:p w:rsidR="0023770A" w:rsidRPr="008B0890" w:rsidRDefault="0023770A" w:rsidP="008B0890">
          <w:pPr>
            <w:pStyle w:val="Heading1"/>
            <w:spacing w:line="480" w:lineRule="auto"/>
            <w:rPr>
              <w:rFonts w:ascii="Times New Roman" w:hAnsi="Times New Roman" w:cs="Times New Roman"/>
              <w:sz w:val="24"/>
              <w:szCs w:val="24"/>
            </w:rPr>
          </w:pPr>
          <w:r w:rsidRPr="008B0890">
            <w:rPr>
              <w:rFonts w:ascii="Times New Roman" w:hAnsi="Times New Roman" w:cs="Times New Roman"/>
              <w:sz w:val="24"/>
              <w:szCs w:val="24"/>
            </w:rPr>
            <w:t>Works Cited</w:t>
          </w:r>
        </w:p>
        <w:p w:rsidR="008B0890" w:rsidRPr="008B0890" w:rsidRDefault="008B0890" w:rsidP="008B0890">
          <w:pPr>
            <w:pStyle w:val="ListParagraph"/>
            <w:numPr>
              <w:ilvl w:val="0"/>
              <w:numId w:val="3"/>
            </w:numPr>
            <w:spacing w:after="0" w:line="240" w:lineRule="auto"/>
            <w:rPr>
              <w:rFonts w:ascii="Times New Roman" w:eastAsia="Times New Roman" w:hAnsi="Times New Roman" w:cs="Times New Roman"/>
              <w:sz w:val="24"/>
              <w:szCs w:val="24"/>
            </w:rPr>
          </w:pPr>
          <w:proofErr w:type="spellStart"/>
          <w:r w:rsidRPr="008B0890">
            <w:rPr>
              <w:rFonts w:ascii="Times New Roman" w:eastAsia="Times New Roman" w:hAnsi="Times New Roman" w:cs="Times New Roman"/>
              <w:sz w:val="24"/>
              <w:szCs w:val="24"/>
            </w:rPr>
            <w:t>Akinkugbe</w:t>
          </w:r>
          <w:proofErr w:type="spellEnd"/>
          <w:r w:rsidRPr="008B0890">
            <w:rPr>
              <w:rFonts w:ascii="Times New Roman" w:eastAsia="Times New Roman" w:hAnsi="Times New Roman" w:cs="Times New Roman"/>
              <w:sz w:val="24"/>
              <w:szCs w:val="24"/>
            </w:rPr>
            <w:t>, O. (2000). The European Union</w:t>
          </w:r>
          <w:r w:rsidRPr="008B0890">
            <w:rPr>
              <w:rFonts w:ascii="Cambria Math" w:eastAsia="Times New Roman" w:hAnsi="Cambria Math" w:cs="Cambria Math"/>
              <w:sz w:val="24"/>
              <w:szCs w:val="24"/>
            </w:rPr>
            <w:t>‐</w:t>
          </w:r>
          <w:r w:rsidRPr="008B0890">
            <w:rPr>
              <w:rFonts w:ascii="Times New Roman" w:eastAsia="Times New Roman" w:hAnsi="Times New Roman" w:cs="Times New Roman"/>
              <w:sz w:val="24"/>
              <w:szCs w:val="24"/>
            </w:rPr>
            <w:t>South Africa Free Trade Ag</w:t>
          </w:r>
          <w:bookmarkStart w:id="0" w:name="_GoBack"/>
          <w:bookmarkEnd w:id="0"/>
          <w:r w:rsidRPr="008B0890">
            <w:rPr>
              <w:rFonts w:ascii="Times New Roman" w:eastAsia="Times New Roman" w:hAnsi="Times New Roman" w:cs="Times New Roman"/>
              <w:sz w:val="24"/>
              <w:szCs w:val="24"/>
            </w:rPr>
            <w:t xml:space="preserve">reements and the SADC Region*(1). </w:t>
          </w:r>
          <w:r w:rsidRPr="008B0890">
            <w:rPr>
              <w:rFonts w:ascii="Times New Roman" w:eastAsia="Times New Roman" w:hAnsi="Times New Roman" w:cs="Times New Roman"/>
              <w:i/>
              <w:iCs/>
              <w:sz w:val="24"/>
              <w:szCs w:val="24"/>
            </w:rPr>
            <w:t>South African Journal of Economics</w:t>
          </w:r>
          <w:r w:rsidRPr="008B0890">
            <w:rPr>
              <w:rFonts w:ascii="Times New Roman" w:eastAsia="Times New Roman" w:hAnsi="Times New Roman" w:cs="Times New Roman"/>
              <w:sz w:val="24"/>
              <w:szCs w:val="24"/>
            </w:rPr>
            <w:t xml:space="preserve">, </w:t>
          </w:r>
          <w:r w:rsidRPr="008B0890">
            <w:rPr>
              <w:rFonts w:ascii="Times New Roman" w:eastAsia="Times New Roman" w:hAnsi="Times New Roman" w:cs="Times New Roman"/>
              <w:i/>
              <w:iCs/>
              <w:sz w:val="24"/>
              <w:szCs w:val="24"/>
            </w:rPr>
            <w:t>68</w:t>
          </w:r>
          <w:r w:rsidRPr="008B0890">
            <w:rPr>
              <w:rFonts w:ascii="Times New Roman" w:eastAsia="Times New Roman" w:hAnsi="Times New Roman" w:cs="Times New Roman"/>
              <w:sz w:val="24"/>
              <w:szCs w:val="24"/>
            </w:rPr>
            <w:t>(4), 282-292.</w:t>
          </w:r>
        </w:p>
        <w:p w:rsidR="008B0890" w:rsidRDefault="0023770A" w:rsidP="008B0890">
          <w:pPr>
            <w:pStyle w:val="ListParagraph"/>
            <w:numPr>
              <w:ilvl w:val="0"/>
              <w:numId w:val="3"/>
            </w:numPr>
            <w:spacing w:after="0" w:line="240" w:lineRule="auto"/>
            <w:rPr>
              <w:rFonts w:ascii="Times New Roman" w:eastAsia="Times New Roman" w:hAnsi="Times New Roman" w:cs="Times New Roman"/>
              <w:sz w:val="24"/>
              <w:szCs w:val="24"/>
            </w:rPr>
          </w:pPr>
          <w:r w:rsidRPr="008B0890">
            <w:rPr>
              <w:rFonts w:ascii="Times New Roman" w:hAnsi="Times New Roman" w:cs="Times New Roman"/>
              <w:sz w:val="24"/>
              <w:szCs w:val="24"/>
            </w:rPr>
            <w:fldChar w:fldCharType="begin"/>
          </w:r>
          <w:r w:rsidRPr="008B0890">
            <w:rPr>
              <w:rFonts w:ascii="Times New Roman" w:hAnsi="Times New Roman" w:cs="Times New Roman"/>
              <w:sz w:val="24"/>
              <w:szCs w:val="24"/>
            </w:rPr>
            <w:instrText xml:space="preserve"> BIBLIOGRAPHY </w:instrText>
          </w:r>
          <w:r w:rsidRPr="008B0890">
            <w:rPr>
              <w:rFonts w:ascii="Times New Roman" w:hAnsi="Times New Roman" w:cs="Times New Roman"/>
              <w:sz w:val="24"/>
              <w:szCs w:val="24"/>
            </w:rPr>
            <w:fldChar w:fldCharType="separate"/>
          </w:r>
          <w:r w:rsidR="00C55410" w:rsidRPr="008B0890">
            <w:rPr>
              <w:rFonts w:ascii="Times New Roman" w:hAnsi="Times New Roman" w:cs="Times New Roman"/>
              <w:noProof/>
              <w:sz w:val="24"/>
              <w:szCs w:val="24"/>
            </w:rPr>
            <w:t xml:space="preserve">Nations, U. (1987). </w:t>
          </w:r>
          <w:r w:rsidR="00C55410" w:rsidRPr="008B0890">
            <w:rPr>
              <w:rFonts w:ascii="Times New Roman" w:hAnsi="Times New Roman" w:cs="Times New Roman"/>
              <w:i/>
              <w:iCs/>
              <w:noProof/>
              <w:sz w:val="24"/>
              <w:szCs w:val="24"/>
            </w:rPr>
            <w:t>Africa recovery.</w:t>
          </w:r>
          <w:r w:rsidR="00C55410" w:rsidRPr="008B0890">
            <w:rPr>
              <w:rFonts w:ascii="Times New Roman" w:hAnsi="Times New Roman" w:cs="Times New Roman"/>
              <w:noProof/>
              <w:sz w:val="24"/>
              <w:szCs w:val="24"/>
            </w:rPr>
            <w:t xml:space="preserve"> New York: United Nations.</w:t>
          </w:r>
          <w:r w:rsidR="008B0890" w:rsidRPr="008B0890">
            <w:rPr>
              <w:rFonts w:ascii="Times New Roman" w:eastAsia="Times New Roman" w:hAnsi="Times New Roman" w:cs="Times New Roman"/>
              <w:sz w:val="24"/>
              <w:szCs w:val="24"/>
            </w:rPr>
            <w:t xml:space="preserve"> </w:t>
          </w:r>
        </w:p>
        <w:p w:rsidR="008B0890" w:rsidRDefault="008B0890" w:rsidP="008B0890">
          <w:pPr>
            <w:pStyle w:val="ListParagraph"/>
            <w:numPr>
              <w:ilvl w:val="0"/>
              <w:numId w:val="3"/>
            </w:numPr>
            <w:spacing w:after="0" w:line="240" w:lineRule="auto"/>
            <w:rPr>
              <w:rFonts w:ascii="Times New Roman" w:eastAsia="Times New Roman" w:hAnsi="Times New Roman" w:cs="Times New Roman"/>
              <w:sz w:val="24"/>
              <w:szCs w:val="24"/>
            </w:rPr>
          </w:pPr>
          <w:r w:rsidRPr="008B0890">
            <w:rPr>
              <w:rFonts w:ascii="Times New Roman" w:eastAsia="Times New Roman" w:hAnsi="Times New Roman" w:cs="Times New Roman"/>
              <w:sz w:val="24"/>
              <w:szCs w:val="24"/>
            </w:rPr>
            <w:t xml:space="preserve">Ponte, S., &amp; </w:t>
          </w:r>
          <w:proofErr w:type="spellStart"/>
          <w:r w:rsidRPr="008B0890">
            <w:rPr>
              <w:rFonts w:ascii="Times New Roman" w:eastAsia="Times New Roman" w:hAnsi="Times New Roman" w:cs="Times New Roman"/>
              <w:sz w:val="24"/>
              <w:szCs w:val="24"/>
            </w:rPr>
            <w:t>Ewert</w:t>
          </w:r>
          <w:proofErr w:type="spellEnd"/>
          <w:r w:rsidRPr="008B0890">
            <w:rPr>
              <w:rFonts w:ascii="Times New Roman" w:eastAsia="Times New Roman" w:hAnsi="Times New Roman" w:cs="Times New Roman"/>
              <w:sz w:val="24"/>
              <w:szCs w:val="24"/>
            </w:rPr>
            <w:t xml:space="preserve">, J. (2009). Which way is “up” in upgrading? Trajectories of change in the value chain for South African wine. </w:t>
          </w:r>
          <w:r w:rsidRPr="008B0890">
            <w:rPr>
              <w:rFonts w:ascii="Times New Roman" w:eastAsia="Times New Roman" w:hAnsi="Times New Roman" w:cs="Times New Roman"/>
              <w:i/>
              <w:iCs/>
              <w:sz w:val="24"/>
              <w:szCs w:val="24"/>
            </w:rPr>
            <w:t>World Development</w:t>
          </w:r>
          <w:r w:rsidRPr="008B0890">
            <w:rPr>
              <w:rFonts w:ascii="Times New Roman" w:eastAsia="Times New Roman" w:hAnsi="Times New Roman" w:cs="Times New Roman"/>
              <w:sz w:val="24"/>
              <w:szCs w:val="24"/>
            </w:rPr>
            <w:t xml:space="preserve">, </w:t>
          </w:r>
          <w:r w:rsidRPr="008B0890">
            <w:rPr>
              <w:rFonts w:ascii="Times New Roman" w:eastAsia="Times New Roman" w:hAnsi="Times New Roman" w:cs="Times New Roman"/>
              <w:i/>
              <w:iCs/>
              <w:sz w:val="24"/>
              <w:szCs w:val="24"/>
            </w:rPr>
            <w:t>37</w:t>
          </w:r>
          <w:r w:rsidRPr="008B0890">
            <w:rPr>
              <w:rFonts w:ascii="Times New Roman" w:eastAsia="Times New Roman" w:hAnsi="Times New Roman" w:cs="Times New Roman"/>
              <w:sz w:val="24"/>
              <w:szCs w:val="24"/>
            </w:rPr>
            <w:t>(10), 1637-1650.</w:t>
          </w:r>
        </w:p>
        <w:p w:rsidR="008B0890" w:rsidRPr="008B0890" w:rsidRDefault="008B0890" w:rsidP="008B0890">
          <w:pPr>
            <w:pStyle w:val="ListParagraph"/>
            <w:numPr>
              <w:ilvl w:val="0"/>
              <w:numId w:val="3"/>
            </w:numPr>
            <w:spacing w:line="480" w:lineRule="auto"/>
            <w:rPr>
              <w:rFonts w:ascii="Times New Roman" w:hAnsi="Times New Roman" w:cs="Times New Roman"/>
              <w:sz w:val="24"/>
              <w:szCs w:val="24"/>
            </w:rPr>
          </w:pPr>
          <w:r w:rsidRPr="008B0890">
            <w:rPr>
              <w:rFonts w:ascii="Times New Roman" w:hAnsi="Times New Roman" w:cs="Times New Roman"/>
              <w:sz w:val="24"/>
              <w:szCs w:val="24"/>
            </w:rPr>
            <w:t>South Africa, 2013. (2013). Place of publication not identified: Oxford Business Group</w:t>
          </w:r>
        </w:p>
        <w:p w:rsidR="008B0890" w:rsidRDefault="008B0890" w:rsidP="008B0890">
          <w:pPr>
            <w:pStyle w:val="Bibliography"/>
            <w:numPr>
              <w:ilvl w:val="0"/>
              <w:numId w:val="3"/>
            </w:numPr>
            <w:spacing w:line="480" w:lineRule="auto"/>
            <w:rPr>
              <w:rFonts w:ascii="Times New Roman" w:hAnsi="Times New Roman" w:cs="Times New Roman"/>
              <w:noProof/>
              <w:sz w:val="24"/>
              <w:szCs w:val="24"/>
            </w:rPr>
          </w:pPr>
          <w:r w:rsidRPr="008B0890">
            <w:rPr>
              <w:rFonts w:ascii="Times New Roman" w:hAnsi="Times New Roman" w:cs="Times New Roman"/>
              <w:noProof/>
              <w:sz w:val="24"/>
              <w:szCs w:val="24"/>
            </w:rPr>
            <w:t xml:space="preserve">Spahni, P. (2000). </w:t>
          </w:r>
          <w:r w:rsidRPr="008B0890">
            <w:rPr>
              <w:rFonts w:ascii="Times New Roman" w:hAnsi="Times New Roman" w:cs="Times New Roman"/>
              <w:i/>
              <w:iCs/>
              <w:noProof/>
              <w:sz w:val="24"/>
              <w:szCs w:val="24"/>
            </w:rPr>
            <w:t>The International Wine Trade.</w:t>
          </w:r>
          <w:r w:rsidRPr="008B0890">
            <w:rPr>
              <w:rFonts w:ascii="Times New Roman" w:hAnsi="Times New Roman" w:cs="Times New Roman"/>
              <w:noProof/>
              <w:sz w:val="24"/>
              <w:szCs w:val="24"/>
            </w:rPr>
            <w:t xml:space="preserve"> Woodhead.</w:t>
          </w:r>
        </w:p>
        <w:p w:rsidR="008B0890" w:rsidRDefault="008B0890" w:rsidP="008B0890"/>
        <w:p w:rsidR="008B0890" w:rsidRPr="008B0890" w:rsidRDefault="008B0890" w:rsidP="008B0890"/>
        <w:p w:rsidR="00C55410" w:rsidRPr="008B0890" w:rsidRDefault="00C55410" w:rsidP="008B0890">
          <w:pPr>
            <w:pStyle w:val="Bibliography"/>
            <w:spacing w:line="480" w:lineRule="auto"/>
            <w:ind w:left="720" w:hanging="720"/>
            <w:rPr>
              <w:rFonts w:ascii="Times New Roman" w:hAnsi="Times New Roman" w:cs="Times New Roman"/>
              <w:noProof/>
              <w:sz w:val="24"/>
              <w:szCs w:val="24"/>
            </w:rPr>
          </w:pPr>
        </w:p>
        <w:p w:rsidR="008B0890" w:rsidRDefault="0023770A" w:rsidP="008B0890">
          <w:pPr>
            <w:spacing w:line="480" w:lineRule="auto"/>
          </w:pPr>
          <w:r w:rsidRPr="008B0890">
            <w:rPr>
              <w:rFonts w:ascii="Times New Roman" w:hAnsi="Times New Roman" w:cs="Times New Roman"/>
              <w:b/>
              <w:bCs/>
              <w:sz w:val="24"/>
              <w:szCs w:val="24"/>
            </w:rPr>
            <w:lastRenderedPageBreak/>
            <w:fldChar w:fldCharType="end"/>
          </w:r>
        </w:p>
        <w:p w:rsidR="0023770A" w:rsidRPr="008B0890" w:rsidRDefault="007357AB" w:rsidP="008B0890">
          <w:pPr>
            <w:spacing w:line="480" w:lineRule="auto"/>
            <w:rPr>
              <w:rFonts w:ascii="Times New Roman" w:hAnsi="Times New Roman" w:cs="Times New Roman"/>
              <w:color w:val="000000"/>
              <w:sz w:val="24"/>
              <w:szCs w:val="24"/>
            </w:rPr>
          </w:pPr>
        </w:p>
      </w:sdtContent>
    </w:sdt>
    <w:p w:rsidR="0023770A" w:rsidRPr="008B0890" w:rsidRDefault="0023770A" w:rsidP="008B0890">
      <w:pPr>
        <w:spacing w:line="480" w:lineRule="auto"/>
        <w:rPr>
          <w:rFonts w:ascii="Times New Roman" w:hAnsi="Times New Roman" w:cs="Times New Roman"/>
          <w:sz w:val="24"/>
          <w:szCs w:val="24"/>
        </w:rPr>
      </w:pPr>
    </w:p>
    <w:sectPr w:rsidR="0023770A" w:rsidRPr="008B089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11C" w:rsidRDefault="003C611C" w:rsidP="001A3AB0">
      <w:pPr>
        <w:spacing w:after="0" w:line="240" w:lineRule="auto"/>
      </w:pPr>
      <w:r>
        <w:separator/>
      </w:r>
    </w:p>
  </w:endnote>
  <w:endnote w:type="continuationSeparator" w:id="0">
    <w:p w:rsidR="003C611C" w:rsidRDefault="003C611C" w:rsidP="001A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Ligh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11C" w:rsidRDefault="003C611C" w:rsidP="001A3AB0">
      <w:pPr>
        <w:spacing w:after="0" w:line="240" w:lineRule="auto"/>
      </w:pPr>
      <w:r>
        <w:separator/>
      </w:r>
    </w:p>
  </w:footnote>
  <w:footnote w:type="continuationSeparator" w:id="0">
    <w:p w:rsidR="003C611C" w:rsidRDefault="003C611C" w:rsidP="001A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7AB" w:rsidRDefault="007357AB" w:rsidP="001A3AB0">
    <w:pPr>
      <w:pStyle w:val="Header"/>
    </w:pPr>
    <w:r w:rsidRPr="001A3AB0">
      <w:rPr>
        <w:rFonts w:ascii="Times New Roman" w:hAnsi="Times New Roman" w:cs="Times New Roman"/>
        <w:sz w:val="24"/>
        <w:szCs w:val="24"/>
      </w:rPr>
      <w:t>Running head:</w:t>
    </w:r>
    <w:r w:rsidRPr="001A3AB0">
      <w:rPr>
        <w:rFonts w:ascii="Times New Roman" w:hAnsi="Times New Roman" w:cs="Times New Roman"/>
        <w:color w:val="333333"/>
        <w:sz w:val="24"/>
        <w:szCs w:val="24"/>
        <w:shd w:val="clear" w:color="auto" w:fill="FFFFFF"/>
      </w:rPr>
      <w:t xml:space="preserve"> South African Wine Industry</w:t>
    </w:r>
    <w:r>
      <w:rPr>
        <w:rFonts w:ascii="Arial" w:hAnsi="Arial" w:cs="Arial"/>
        <w:color w:val="333333"/>
        <w:sz w:val="21"/>
        <w:szCs w:val="21"/>
        <w:shd w:val="clear" w:color="auto" w:fill="FFFFFF"/>
      </w:rPr>
      <w:t xml:space="preserve">                                      </w:t>
    </w:r>
    <w:r>
      <w:t xml:space="preserve">                                                      </w:t>
    </w:r>
    <w:r w:rsidRPr="001A3AB0">
      <w:t xml:space="preserve"> </w:t>
    </w:r>
    <w:sdt>
      <w:sdtPr>
        <w:id w:val="8275580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B0890">
          <w:rPr>
            <w:noProof/>
          </w:rPr>
          <w:t>10</w:t>
        </w:r>
        <w:r>
          <w:rPr>
            <w:noProof/>
          </w:rPr>
          <w:fldChar w:fldCharType="end"/>
        </w:r>
      </w:sdtContent>
    </w:sdt>
  </w:p>
  <w:p w:rsidR="007357AB" w:rsidRDefault="007357AB" w:rsidP="001A3AB0">
    <w:pPr>
      <w:pStyle w:val="Header"/>
    </w:pPr>
  </w:p>
  <w:p w:rsidR="007357AB" w:rsidRDefault="00735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EBD"/>
    <w:multiLevelType w:val="hybridMultilevel"/>
    <w:tmpl w:val="41A0E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D94FAB"/>
    <w:multiLevelType w:val="hybridMultilevel"/>
    <w:tmpl w:val="5FC685F0"/>
    <w:lvl w:ilvl="0" w:tplc="5A2A546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7501AC"/>
    <w:multiLevelType w:val="hybridMultilevel"/>
    <w:tmpl w:val="DDDE3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6C"/>
    <w:rsid w:val="000E32AA"/>
    <w:rsid w:val="00145907"/>
    <w:rsid w:val="0015346D"/>
    <w:rsid w:val="00170129"/>
    <w:rsid w:val="001A3AB0"/>
    <w:rsid w:val="002039D6"/>
    <w:rsid w:val="0021688B"/>
    <w:rsid w:val="0023770A"/>
    <w:rsid w:val="00275FC9"/>
    <w:rsid w:val="003677A3"/>
    <w:rsid w:val="003C611C"/>
    <w:rsid w:val="003F117F"/>
    <w:rsid w:val="004705A6"/>
    <w:rsid w:val="004C6154"/>
    <w:rsid w:val="004D48D7"/>
    <w:rsid w:val="00536E26"/>
    <w:rsid w:val="0057197C"/>
    <w:rsid w:val="005A643B"/>
    <w:rsid w:val="00692934"/>
    <w:rsid w:val="007357AB"/>
    <w:rsid w:val="007B694E"/>
    <w:rsid w:val="00807A2B"/>
    <w:rsid w:val="00822498"/>
    <w:rsid w:val="008A436C"/>
    <w:rsid w:val="008B0890"/>
    <w:rsid w:val="00912ACC"/>
    <w:rsid w:val="00927808"/>
    <w:rsid w:val="00927B67"/>
    <w:rsid w:val="009553CC"/>
    <w:rsid w:val="00A60E2A"/>
    <w:rsid w:val="00B10DAF"/>
    <w:rsid w:val="00B3512F"/>
    <w:rsid w:val="00BF7CAE"/>
    <w:rsid w:val="00C1207E"/>
    <w:rsid w:val="00C55410"/>
    <w:rsid w:val="00C857DA"/>
    <w:rsid w:val="00E16FF2"/>
    <w:rsid w:val="00EE06F8"/>
    <w:rsid w:val="00FA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77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semiHidden/>
    <w:unhideWhenUsed/>
    <w:qFormat/>
    <w:rsid w:val="00C120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5A6"/>
    <w:rPr>
      <w:b/>
      <w:bCs/>
    </w:rPr>
  </w:style>
  <w:style w:type="character" w:styleId="Emphasis">
    <w:name w:val="Emphasis"/>
    <w:basedOn w:val="DefaultParagraphFont"/>
    <w:uiPriority w:val="20"/>
    <w:qFormat/>
    <w:rsid w:val="005A643B"/>
    <w:rPr>
      <w:i/>
      <w:iCs/>
    </w:rPr>
  </w:style>
  <w:style w:type="paragraph" w:styleId="Header">
    <w:name w:val="header"/>
    <w:basedOn w:val="Normal"/>
    <w:link w:val="HeaderChar"/>
    <w:uiPriority w:val="99"/>
    <w:unhideWhenUsed/>
    <w:rsid w:val="001A3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AB0"/>
  </w:style>
  <w:style w:type="paragraph" w:styleId="Footer">
    <w:name w:val="footer"/>
    <w:basedOn w:val="Normal"/>
    <w:link w:val="FooterChar"/>
    <w:uiPriority w:val="99"/>
    <w:unhideWhenUsed/>
    <w:rsid w:val="001A3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AB0"/>
  </w:style>
  <w:style w:type="character" w:customStyle="1" w:styleId="Heading1Char">
    <w:name w:val="Heading 1 Char"/>
    <w:basedOn w:val="DefaultParagraphFont"/>
    <w:link w:val="Heading1"/>
    <w:uiPriority w:val="9"/>
    <w:rsid w:val="0023770A"/>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237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70A"/>
    <w:rPr>
      <w:rFonts w:ascii="Tahoma" w:hAnsi="Tahoma" w:cs="Tahoma"/>
      <w:sz w:val="16"/>
      <w:szCs w:val="16"/>
    </w:rPr>
  </w:style>
  <w:style w:type="paragraph" w:styleId="Bibliography">
    <w:name w:val="Bibliography"/>
    <w:basedOn w:val="Normal"/>
    <w:next w:val="Normal"/>
    <w:uiPriority w:val="37"/>
    <w:unhideWhenUsed/>
    <w:rsid w:val="0023770A"/>
  </w:style>
  <w:style w:type="table" w:styleId="TableGrid">
    <w:name w:val="Table Grid"/>
    <w:basedOn w:val="TableNormal"/>
    <w:uiPriority w:val="59"/>
    <w:rsid w:val="00C12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1207E"/>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C1207E"/>
    <w:rPr>
      <w:color w:val="0000FF"/>
      <w:u w:val="single"/>
    </w:rPr>
  </w:style>
  <w:style w:type="character" w:customStyle="1" w:styleId="apple-converted-space">
    <w:name w:val="apple-converted-space"/>
    <w:basedOn w:val="DefaultParagraphFont"/>
    <w:rsid w:val="00C1207E"/>
  </w:style>
  <w:style w:type="character" w:customStyle="1" w:styleId="fontstyle01">
    <w:name w:val="fontstyle01"/>
    <w:basedOn w:val="DefaultParagraphFont"/>
    <w:rsid w:val="00EE06F8"/>
    <w:rPr>
      <w:rFonts w:ascii="HelveticaNeueLT-Light" w:hAnsi="HelveticaNeueLT-Light" w:hint="default"/>
      <w:b w:val="0"/>
      <w:bCs w:val="0"/>
      <w:i w:val="0"/>
      <w:iCs w:val="0"/>
      <w:color w:val="000000"/>
      <w:sz w:val="16"/>
      <w:szCs w:val="16"/>
    </w:rPr>
  </w:style>
  <w:style w:type="paragraph" w:styleId="ListParagraph">
    <w:name w:val="List Paragraph"/>
    <w:basedOn w:val="Normal"/>
    <w:uiPriority w:val="34"/>
    <w:qFormat/>
    <w:rsid w:val="008B08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77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semiHidden/>
    <w:unhideWhenUsed/>
    <w:qFormat/>
    <w:rsid w:val="00C120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5A6"/>
    <w:rPr>
      <w:b/>
      <w:bCs/>
    </w:rPr>
  </w:style>
  <w:style w:type="character" w:styleId="Emphasis">
    <w:name w:val="Emphasis"/>
    <w:basedOn w:val="DefaultParagraphFont"/>
    <w:uiPriority w:val="20"/>
    <w:qFormat/>
    <w:rsid w:val="005A643B"/>
    <w:rPr>
      <w:i/>
      <w:iCs/>
    </w:rPr>
  </w:style>
  <w:style w:type="paragraph" w:styleId="Header">
    <w:name w:val="header"/>
    <w:basedOn w:val="Normal"/>
    <w:link w:val="HeaderChar"/>
    <w:uiPriority w:val="99"/>
    <w:unhideWhenUsed/>
    <w:rsid w:val="001A3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AB0"/>
  </w:style>
  <w:style w:type="paragraph" w:styleId="Footer">
    <w:name w:val="footer"/>
    <w:basedOn w:val="Normal"/>
    <w:link w:val="FooterChar"/>
    <w:uiPriority w:val="99"/>
    <w:unhideWhenUsed/>
    <w:rsid w:val="001A3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AB0"/>
  </w:style>
  <w:style w:type="character" w:customStyle="1" w:styleId="Heading1Char">
    <w:name w:val="Heading 1 Char"/>
    <w:basedOn w:val="DefaultParagraphFont"/>
    <w:link w:val="Heading1"/>
    <w:uiPriority w:val="9"/>
    <w:rsid w:val="0023770A"/>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237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70A"/>
    <w:rPr>
      <w:rFonts w:ascii="Tahoma" w:hAnsi="Tahoma" w:cs="Tahoma"/>
      <w:sz w:val="16"/>
      <w:szCs w:val="16"/>
    </w:rPr>
  </w:style>
  <w:style w:type="paragraph" w:styleId="Bibliography">
    <w:name w:val="Bibliography"/>
    <w:basedOn w:val="Normal"/>
    <w:next w:val="Normal"/>
    <w:uiPriority w:val="37"/>
    <w:unhideWhenUsed/>
    <w:rsid w:val="0023770A"/>
  </w:style>
  <w:style w:type="table" w:styleId="TableGrid">
    <w:name w:val="Table Grid"/>
    <w:basedOn w:val="TableNormal"/>
    <w:uiPriority w:val="59"/>
    <w:rsid w:val="00C12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1207E"/>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C1207E"/>
    <w:rPr>
      <w:color w:val="0000FF"/>
      <w:u w:val="single"/>
    </w:rPr>
  </w:style>
  <w:style w:type="character" w:customStyle="1" w:styleId="apple-converted-space">
    <w:name w:val="apple-converted-space"/>
    <w:basedOn w:val="DefaultParagraphFont"/>
    <w:rsid w:val="00C1207E"/>
  </w:style>
  <w:style w:type="character" w:customStyle="1" w:styleId="fontstyle01">
    <w:name w:val="fontstyle01"/>
    <w:basedOn w:val="DefaultParagraphFont"/>
    <w:rsid w:val="00EE06F8"/>
    <w:rPr>
      <w:rFonts w:ascii="HelveticaNeueLT-Light" w:hAnsi="HelveticaNeueLT-Light" w:hint="default"/>
      <w:b w:val="0"/>
      <w:bCs w:val="0"/>
      <w:i w:val="0"/>
      <w:iCs w:val="0"/>
      <w:color w:val="000000"/>
      <w:sz w:val="16"/>
      <w:szCs w:val="16"/>
    </w:rPr>
  </w:style>
  <w:style w:type="paragraph" w:styleId="ListParagraph">
    <w:name w:val="List Paragraph"/>
    <w:basedOn w:val="Normal"/>
    <w:uiPriority w:val="34"/>
    <w:qFormat/>
    <w:rsid w:val="008B0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8705">
      <w:bodyDiv w:val="1"/>
      <w:marLeft w:val="0"/>
      <w:marRight w:val="0"/>
      <w:marTop w:val="0"/>
      <w:marBottom w:val="0"/>
      <w:divBdr>
        <w:top w:val="none" w:sz="0" w:space="0" w:color="auto"/>
        <w:left w:val="none" w:sz="0" w:space="0" w:color="auto"/>
        <w:bottom w:val="none" w:sz="0" w:space="0" w:color="auto"/>
        <w:right w:val="none" w:sz="0" w:space="0" w:color="auto"/>
      </w:divBdr>
    </w:div>
    <w:div w:id="435449090">
      <w:bodyDiv w:val="1"/>
      <w:marLeft w:val="0"/>
      <w:marRight w:val="0"/>
      <w:marTop w:val="0"/>
      <w:marBottom w:val="0"/>
      <w:divBdr>
        <w:top w:val="none" w:sz="0" w:space="0" w:color="auto"/>
        <w:left w:val="none" w:sz="0" w:space="0" w:color="auto"/>
        <w:bottom w:val="none" w:sz="0" w:space="0" w:color="auto"/>
        <w:right w:val="none" w:sz="0" w:space="0" w:color="auto"/>
      </w:divBdr>
    </w:div>
    <w:div w:id="1180968494">
      <w:bodyDiv w:val="1"/>
      <w:marLeft w:val="0"/>
      <w:marRight w:val="0"/>
      <w:marTop w:val="0"/>
      <w:marBottom w:val="0"/>
      <w:divBdr>
        <w:top w:val="none" w:sz="0" w:space="0" w:color="auto"/>
        <w:left w:val="none" w:sz="0" w:space="0" w:color="auto"/>
        <w:bottom w:val="none" w:sz="0" w:space="0" w:color="auto"/>
        <w:right w:val="none" w:sz="0" w:space="0" w:color="auto"/>
      </w:divBdr>
      <w:divsChild>
        <w:div w:id="10959060">
          <w:marLeft w:val="0"/>
          <w:marRight w:val="0"/>
          <w:marTop w:val="0"/>
          <w:marBottom w:val="0"/>
          <w:divBdr>
            <w:top w:val="none" w:sz="0" w:space="0" w:color="auto"/>
            <w:left w:val="none" w:sz="0" w:space="0" w:color="auto"/>
            <w:bottom w:val="none" w:sz="0" w:space="0" w:color="auto"/>
            <w:right w:val="none" w:sz="0" w:space="0" w:color="auto"/>
          </w:divBdr>
        </w:div>
      </w:divsChild>
    </w:div>
    <w:div w:id="1481461146">
      <w:bodyDiv w:val="1"/>
      <w:marLeft w:val="0"/>
      <w:marRight w:val="0"/>
      <w:marTop w:val="0"/>
      <w:marBottom w:val="0"/>
      <w:divBdr>
        <w:top w:val="none" w:sz="0" w:space="0" w:color="auto"/>
        <w:left w:val="none" w:sz="0" w:space="0" w:color="auto"/>
        <w:bottom w:val="none" w:sz="0" w:space="0" w:color="auto"/>
        <w:right w:val="none" w:sz="0" w:space="0" w:color="auto"/>
      </w:divBdr>
      <w:divsChild>
        <w:div w:id="970089508">
          <w:marLeft w:val="0"/>
          <w:marRight w:val="0"/>
          <w:marTop w:val="0"/>
          <w:marBottom w:val="0"/>
          <w:divBdr>
            <w:top w:val="none" w:sz="0" w:space="0" w:color="auto"/>
            <w:left w:val="none" w:sz="0" w:space="0" w:color="auto"/>
            <w:bottom w:val="none" w:sz="0" w:space="0" w:color="auto"/>
            <w:right w:val="none" w:sz="0" w:space="0" w:color="auto"/>
          </w:divBdr>
        </w:div>
      </w:divsChild>
    </w:div>
    <w:div w:id="1642153416">
      <w:bodyDiv w:val="1"/>
      <w:marLeft w:val="0"/>
      <w:marRight w:val="0"/>
      <w:marTop w:val="0"/>
      <w:marBottom w:val="0"/>
      <w:divBdr>
        <w:top w:val="none" w:sz="0" w:space="0" w:color="auto"/>
        <w:left w:val="none" w:sz="0" w:space="0" w:color="auto"/>
        <w:bottom w:val="none" w:sz="0" w:space="0" w:color="auto"/>
        <w:right w:val="none" w:sz="0" w:space="0" w:color="auto"/>
      </w:divBdr>
      <w:divsChild>
        <w:div w:id="1924727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Effect of import tariff on domestic wine production in L</c:v>
                </c:pt>
              </c:strCache>
            </c:strRef>
          </c:tx>
          <c:invertIfNegative val="0"/>
          <c:cat>
            <c:strRef>
              <c:f>Sheet1!$A$2:$A$4</c:f>
              <c:strCache>
                <c:ptCount val="3"/>
                <c:pt idx="0">
                  <c:v>30% tariff</c:v>
                </c:pt>
                <c:pt idx="1">
                  <c:v>25% tariff</c:v>
                </c:pt>
                <c:pt idx="2">
                  <c:v>20 % tarrif</c:v>
                </c:pt>
              </c:strCache>
            </c:strRef>
          </c:cat>
          <c:val>
            <c:numRef>
              <c:f>Sheet1!$B$2:$B$4</c:f>
              <c:numCache>
                <c:formatCode>General</c:formatCode>
                <c:ptCount val="3"/>
                <c:pt idx="0">
                  <c:v>22000000</c:v>
                </c:pt>
                <c:pt idx="1">
                  <c:v>21000000</c:v>
                </c:pt>
                <c:pt idx="2">
                  <c:v>20000000</c:v>
                </c:pt>
              </c:numCache>
            </c:numRef>
          </c:val>
        </c:ser>
        <c:dLbls>
          <c:showLegendKey val="0"/>
          <c:showVal val="0"/>
          <c:showCatName val="0"/>
          <c:showSerName val="0"/>
          <c:showPercent val="0"/>
          <c:showBubbleSize val="0"/>
        </c:dLbls>
        <c:gapWidth val="150"/>
        <c:axId val="156707456"/>
        <c:axId val="158232576"/>
      </c:barChart>
      <c:catAx>
        <c:axId val="156707456"/>
        <c:scaling>
          <c:orientation val="minMax"/>
        </c:scaling>
        <c:delete val="0"/>
        <c:axPos val="b"/>
        <c:majorTickMark val="out"/>
        <c:minorTickMark val="none"/>
        <c:tickLblPos val="nextTo"/>
        <c:crossAx val="158232576"/>
        <c:crosses val="autoZero"/>
        <c:auto val="1"/>
        <c:lblAlgn val="ctr"/>
        <c:lblOffset val="100"/>
        <c:noMultiLvlLbl val="0"/>
      </c:catAx>
      <c:valAx>
        <c:axId val="158232576"/>
        <c:scaling>
          <c:orientation val="minMax"/>
        </c:scaling>
        <c:delete val="0"/>
        <c:axPos val="l"/>
        <c:majorGridlines/>
        <c:numFmt formatCode="General" sourceLinked="1"/>
        <c:majorTickMark val="out"/>
        <c:minorTickMark val="none"/>
        <c:tickLblPos val="nextTo"/>
        <c:crossAx val="1567074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Wine produced in L</c:v>
                </c:pt>
              </c:strCache>
            </c:strRef>
          </c:tx>
          <c:invertIfNegative val="0"/>
          <c:cat>
            <c:strRef>
              <c:f>Sheet1!$A$2:$A$3</c:f>
              <c:strCache>
                <c:ptCount val="2"/>
                <c:pt idx="0">
                  <c:v>0% tarrif</c:v>
                </c:pt>
                <c:pt idx="1">
                  <c:v>5% tarrif</c:v>
                </c:pt>
              </c:strCache>
            </c:strRef>
          </c:cat>
          <c:val>
            <c:numRef>
              <c:f>Sheet1!$B$2:$B$3</c:f>
              <c:numCache>
                <c:formatCode>General</c:formatCode>
                <c:ptCount val="2"/>
                <c:pt idx="0">
                  <c:v>21000000</c:v>
                </c:pt>
                <c:pt idx="1">
                  <c:v>20000000</c:v>
                </c:pt>
              </c:numCache>
            </c:numRef>
          </c:val>
        </c:ser>
        <c:dLbls>
          <c:showLegendKey val="0"/>
          <c:showVal val="0"/>
          <c:showCatName val="0"/>
          <c:showSerName val="0"/>
          <c:showPercent val="0"/>
          <c:showBubbleSize val="0"/>
        </c:dLbls>
        <c:gapWidth val="150"/>
        <c:axId val="157903104"/>
        <c:axId val="158687232"/>
      </c:barChart>
      <c:catAx>
        <c:axId val="157903104"/>
        <c:scaling>
          <c:orientation val="minMax"/>
        </c:scaling>
        <c:delete val="0"/>
        <c:axPos val="b"/>
        <c:majorTickMark val="out"/>
        <c:minorTickMark val="none"/>
        <c:tickLblPos val="nextTo"/>
        <c:crossAx val="158687232"/>
        <c:crosses val="autoZero"/>
        <c:auto val="1"/>
        <c:lblAlgn val="ctr"/>
        <c:lblOffset val="100"/>
        <c:noMultiLvlLbl val="0"/>
      </c:catAx>
      <c:valAx>
        <c:axId val="158687232"/>
        <c:scaling>
          <c:orientation val="minMax"/>
        </c:scaling>
        <c:delete val="0"/>
        <c:axPos val="l"/>
        <c:majorGridlines/>
        <c:numFmt formatCode="General" sourceLinked="1"/>
        <c:majorTickMark val="out"/>
        <c:minorTickMark val="none"/>
        <c:tickLblPos val="nextTo"/>
        <c:crossAx val="1579031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Quantity of wine prodused in Litres</c:v>
                </c:pt>
              </c:strCache>
            </c:strRef>
          </c:tx>
          <c:invertIfNegative val="0"/>
          <c:cat>
            <c:strRef>
              <c:f>Sheet1!$A$2:$A$3</c:f>
              <c:strCache>
                <c:ptCount val="2"/>
                <c:pt idx="0">
                  <c:v>0% quota</c:v>
                </c:pt>
                <c:pt idx="1">
                  <c:v>5% quota</c:v>
                </c:pt>
              </c:strCache>
            </c:strRef>
          </c:cat>
          <c:val>
            <c:numRef>
              <c:f>Sheet1!$B$2:$B$3</c:f>
              <c:numCache>
                <c:formatCode>General</c:formatCode>
                <c:ptCount val="2"/>
                <c:pt idx="0">
                  <c:v>21000000</c:v>
                </c:pt>
                <c:pt idx="1">
                  <c:v>20000000</c:v>
                </c:pt>
              </c:numCache>
            </c:numRef>
          </c:val>
        </c:ser>
        <c:dLbls>
          <c:showLegendKey val="0"/>
          <c:showVal val="0"/>
          <c:showCatName val="0"/>
          <c:showSerName val="0"/>
          <c:showPercent val="0"/>
          <c:showBubbleSize val="0"/>
        </c:dLbls>
        <c:gapWidth val="150"/>
        <c:axId val="158720000"/>
        <c:axId val="158721536"/>
      </c:barChart>
      <c:catAx>
        <c:axId val="158720000"/>
        <c:scaling>
          <c:orientation val="minMax"/>
        </c:scaling>
        <c:delete val="0"/>
        <c:axPos val="b"/>
        <c:majorTickMark val="out"/>
        <c:minorTickMark val="none"/>
        <c:tickLblPos val="nextTo"/>
        <c:crossAx val="158721536"/>
        <c:crosses val="autoZero"/>
        <c:auto val="1"/>
        <c:lblAlgn val="ctr"/>
        <c:lblOffset val="100"/>
        <c:noMultiLvlLbl val="0"/>
      </c:catAx>
      <c:valAx>
        <c:axId val="158721536"/>
        <c:scaling>
          <c:orientation val="minMax"/>
        </c:scaling>
        <c:delete val="0"/>
        <c:axPos val="l"/>
        <c:majorGridlines/>
        <c:numFmt formatCode="General" sourceLinked="1"/>
        <c:majorTickMark val="out"/>
        <c:minorTickMark val="none"/>
        <c:tickLblPos val="nextTo"/>
        <c:crossAx val="15872000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wine production in lt</c:v>
                </c:pt>
              </c:strCache>
            </c:strRef>
          </c:tx>
          <c:invertIfNegative val="0"/>
          <c:cat>
            <c:strRef>
              <c:f>Sheet1!$A$2:$A$3</c:f>
              <c:strCache>
                <c:ptCount val="2"/>
                <c:pt idx="0">
                  <c:v>0% subsidy</c:v>
                </c:pt>
                <c:pt idx="1">
                  <c:v>5% subsidy</c:v>
                </c:pt>
              </c:strCache>
            </c:strRef>
          </c:cat>
          <c:val>
            <c:numRef>
              <c:f>Sheet1!$B$2:$B$3</c:f>
              <c:numCache>
                <c:formatCode>General</c:formatCode>
                <c:ptCount val="2"/>
                <c:pt idx="0">
                  <c:v>21000000</c:v>
                </c:pt>
                <c:pt idx="1">
                  <c:v>23000000</c:v>
                </c:pt>
              </c:numCache>
            </c:numRef>
          </c:val>
        </c:ser>
        <c:dLbls>
          <c:showLegendKey val="0"/>
          <c:showVal val="0"/>
          <c:showCatName val="0"/>
          <c:showSerName val="0"/>
          <c:showPercent val="0"/>
          <c:showBubbleSize val="0"/>
        </c:dLbls>
        <c:gapWidth val="150"/>
        <c:axId val="159745536"/>
        <c:axId val="159747072"/>
      </c:barChart>
      <c:catAx>
        <c:axId val="159745536"/>
        <c:scaling>
          <c:orientation val="minMax"/>
        </c:scaling>
        <c:delete val="0"/>
        <c:axPos val="b"/>
        <c:majorTickMark val="out"/>
        <c:minorTickMark val="none"/>
        <c:tickLblPos val="nextTo"/>
        <c:crossAx val="159747072"/>
        <c:crosses val="autoZero"/>
        <c:auto val="1"/>
        <c:lblAlgn val="ctr"/>
        <c:lblOffset val="100"/>
        <c:noMultiLvlLbl val="0"/>
      </c:catAx>
      <c:valAx>
        <c:axId val="159747072"/>
        <c:scaling>
          <c:orientation val="minMax"/>
        </c:scaling>
        <c:delete val="0"/>
        <c:axPos val="l"/>
        <c:majorGridlines/>
        <c:numFmt formatCode="General" sourceLinked="1"/>
        <c:majorTickMark val="out"/>
        <c:minorTickMark val="none"/>
        <c:tickLblPos val="nextTo"/>
        <c:crossAx val="15974553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%contribution to GDP</c:v>
                </c:pt>
              </c:strCache>
            </c:strRef>
          </c:tx>
          <c:invertIfNegative val="0"/>
          <c:cat>
            <c:strRef>
              <c:f>Sheet1!$A$2:$A$3</c:f>
              <c:strCache>
                <c:ptCount val="2"/>
                <c:pt idx="0">
                  <c:v>0% subsidy</c:v>
                </c:pt>
                <c:pt idx="1">
                  <c:v>5% subsidy</c:v>
                </c:pt>
              </c:strCache>
            </c:strRef>
          </c:cat>
          <c:val>
            <c:numRef>
              <c:f>Sheet1!$B$2:$B$3</c:f>
              <c:numCache>
                <c:formatCode>General</c:formatCode>
                <c:ptCount val="2"/>
                <c:pt idx="0">
                  <c:v>1.3</c:v>
                </c:pt>
                <c:pt idx="1">
                  <c:v>1.4</c:v>
                </c:pt>
              </c:numCache>
            </c:numRef>
          </c:val>
        </c:ser>
        <c:dLbls>
          <c:showLegendKey val="0"/>
          <c:showVal val="0"/>
          <c:showCatName val="0"/>
          <c:showSerName val="0"/>
          <c:showPercent val="0"/>
          <c:showBubbleSize val="0"/>
        </c:dLbls>
        <c:gapWidth val="150"/>
        <c:axId val="159759360"/>
        <c:axId val="159761152"/>
      </c:barChart>
      <c:catAx>
        <c:axId val="159759360"/>
        <c:scaling>
          <c:orientation val="minMax"/>
        </c:scaling>
        <c:delete val="0"/>
        <c:axPos val="b"/>
        <c:majorTickMark val="out"/>
        <c:minorTickMark val="none"/>
        <c:tickLblPos val="nextTo"/>
        <c:crossAx val="159761152"/>
        <c:crosses val="autoZero"/>
        <c:auto val="1"/>
        <c:lblAlgn val="ctr"/>
        <c:lblOffset val="100"/>
        <c:noMultiLvlLbl val="0"/>
      </c:catAx>
      <c:valAx>
        <c:axId val="159761152"/>
        <c:scaling>
          <c:orientation val="minMax"/>
        </c:scaling>
        <c:delete val="0"/>
        <c:axPos val="l"/>
        <c:majorGridlines/>
        <c:numFmt formatCode="General" sourceLinked="1"/>
        <c:majorTickMark val="out"/>
        <c:minorTickMark val="none"/>
        <c:tickLblPos val="nextTo"/>
        <c:crossAx val="1597593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Spa00</b:Tag>
    <b:SourceType>Book</b:SourceType>
    <b:Guid>{D2259365-264F-48EB-888F-D214DA0F6C79}</b:Guid>
    <b:Author>
      <b:Author>
        <b:NameList>
          <b:Person>
            <b:Last>Spahni</b:Last>
            <b:First>P.</b:First>
          </b:Person>
        </b:NameList>
      </b:Author>
    </b:Author>
    <b:Title>The International Wine Trade</b:Title>
    <b:Year>2000</b:Year>
    <b:Publisher>Woodhead</b:Publisher>
    <b:RefOrder>2</b:RefOrder>
  </b:Source>
  <b:Source>
    <b:Tag>Uni87</b:Tag>
    <b:SourceType>Book</b:SourceType>
    <b:Guid>{2CB8D5C9-9E06-42B4-8F25-24C1ABAACA5D}</b:Guid>
    <b:Author>
      <b:Author>
        <b:NameList>
          <b:Person>
            <b:Last>Nations</b:Last>
            <b:First>United</b:First>
          </b:Person>
        </b:NameList>
      </b:Author>
    </b:Author>
    <b:Title>Africa recovery</b:Title>
    <b:Year>1987</b:Year>
    <b:City>New York</b:City>
    <b:Publisher>United Nations</b:Publisher>
    <b:RefOrder>1</b:RefOrder>
  </b:Source>
</b:Sources>
</file>

<file path=customXml/itemProps1.xml><?xml version="1.0" encoding="utf-8"?>
<ds:datastoreItem xmlns:ds="http://schemas.openxmlformats.org/officeDocument/2006/customXml" ds:itemID="{B80435BA-DFD7-4C29-9135-DC2C2E7B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riga</dc:creator>
  <cp:lastModifiedBy>Dr.Nyongs</cp:lastModifiedBy>
  <cp:revision>2</cp:revision>
  <dcterms:created xsi:type="dcterms:W3CDTF">2016-11-25T21:44:00Z</dcterms:created>
  <dcterms:modified xsi:type="dcterms:W3CDTF">2016-11-25T21:44:00Z</dcterms:modified>
</cp:coreProperties>
</file>