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613" w:rsidRPr="00850B75" w:rsidRDefault="00A02613" w:rsidP="00A02613">
      <w:pPr>
        <w:rPr>
          <w:rFonts w:eastAsiaTheme="minorEastAsia" w:hint="eastAsia"/>
          <w:b/>
          <w:lang w:eastAsia="zh-CN"/>
        </w:rPr>
      </w:pPr>
    </w:p>
    <w:p w:rsidR="00A02613" w:rsidRPr="002C7B93" w:rsidRDefault="00A02613" w:rsidP="00A02613"/>
    <w:p w:rsidR="00684359" w:rsidRPr="002C7B93" w:rsidRDefault="00684359" w:rsidP="00A02613">
      <w:pPr>
        <w:jc w:val="center"/>
        <w:rPr>
          <w:b/>
        </w:rPr>
      </w:pPr>
    </w:p>
    <w:p w:rsidR="00A02613" w:rsidRPr="002C7B93" w:rsidRDefault="00A02613" w:rsidP="00A02613"/>
    <w:p w:rsidR="000370D3" w:rsidRPr="002C7B93" w:rsidRDefault="000370D3" w:rsidP="00CD25D0">
      <w:pPr>
        <w:rPr>
          <w:b/>
        </w:rPr>
      </w:pPr>
    </w:p>
    <w:p w:rsidR="005479EB" w:rsidRPr="002C7B93" w:rsidRDefault="005479EB" w:rsidP="005479EB">
      <w:pPr>
        <w:jc w:val="center"/>
        <w:outlineLvl w:val="0"/>
        <w:rPr>
          <w:b/>
        </w:rPr>
      </w:pPr>
    </w:p>
    <w:p w:rsidR="005479EB" w:rsidRPr="002C7B93" w:rsidRDefault="005479EB" w:rsidP="005479EB">
      <w:pPr>
        <w:outlineLvl w:val="0"/>
        <w:rPr>
          <w:b/>
        </w:rPr>
      </w:pPr>
    </w:p>
    <w:p w:rsidR="00353B66" w:rsidRPr="002C7B93" w:rsidRDefault="00353B66" w:rsidP="005479EB">
      <w:pPr>
        <w:jc w:val="center"/>
        <w:outlineLvl w:val="0"/>
        <w:rPr>
          <w:b/>
        </w:rPr>
      </w:pPr>
    </w:p>
    <w:p w:rsidR="00353B66" w:rsidRPr="002C7B93" w:rsidRDefault="00353B66" w:rsidP="005479EB">
      <w:pPr>
        <w:jc w:val="center"/>
        <w:outlineLvl w:val="0"/>
        <w:rPr>
          <w:b/>
        </w:rPr>
      </w:pPr>
    </w:p>
    <w:p w:rsidR="00353B66" w:rsidRPr="002C7B93" w:rsidRDefault="00353B66" w:rsidP="005479EB">
      <w:pPr>
        <w:jc w:val="center"/>
        <w:outlineLvl w:val="0"/>
        <w:rPr>
          <w:b/>
        </w:rPr>
      </w:pPr>
    </w:p>
    <w:p w:rsidR="00353B66" w:rsidRPr="002C7B93" w:rsidRDefault="00353B66" w:rsidP="00353B66">
      <w:pPr>
        <w:spacing w:line="480" w:lineRule="auto"/>
        <w:jc w:val="center"/>
        <w:outlineLvl w:val="0"/>
        <w:rPr>
          <w:b/>
        </w:rPr>
      </w:pPr>
    </w:p>
    <w:p w:rsidR="00353B66" w:rsidRPr="002C7B93" w:rsidRDefault="00353B66" w:rsidP="00E6062A">
      <w:pPr>
        <w:spacing w:line="480" w:lineRule="auto"/>
        <w:outlineLvl w:val="0"/>
        <w:rPr>
          <w:b/>
        </w:rPr>
      </w:pPr>
    </w:p>
    <w:p w:rsidR="00353B66" w:rsidRDefault="00353B66" w:rsidP="00353B66">
      <w:pPr>
        <w:spacing w:line="480" w:lineRule="auto"/>
        <w:jc w:val="center"/>
        <w:outlineLvl w:val="0"/>
        <w:rPr>
          <w:b/>
        </w:rPr>
      </w:pPr>
    </w:p>
    <w:p w:rsidR="002F5FE8" w:rsidRPr="002C7B93" w:rsidRDefault="002F5FE8" w:rsidP="00353B66">
      <w:pPr>
        <w:spacing w:line="480" w:lineRule="auto"/>
        <w:jc w:val="center"/>
        <w:outlineLvl w:val="0"/>
        <w:rPr>
          <w:b/>
        </w:rPr>
      </w:pPr>
    </w:p>
    <w:p w:rsidR="005479EB" w:rsidRPr="002C7B93" w:rsidRDefault="00DC5905" w:rsidP="00353B66">
      <w:pPr>
        <w:spacing w:line="480" w:lineRule="auto"/>
        <w:jc w:val="center"/>
        <w:outlineLvl w:val="0"/>
        <w:rPr>
          <w:b/>
        </w:rPr>
      </w:pPr>
      <w:r w:rsidRPr="002C7B93">
        <w:rPr>
          <w:b/>
        </w:rPr>
        <w:t xml:space="preserve">Demonstration Effect: </w:t>
      </w:r>
    </w:p>
    <w:p w:rsidR="005479EB" w:rsidRPr="002C7B93" w:rsidRDefault="00DC5905" w:rsidP="00353B66">
      <w:pPr>
        <w:spacing w:line="480" w:lineRule="auto"/>
        <w:jc w:val="center"/>
        <w:outlineLvl w:val="0"/>
        <w:rPr>
          <w:b/>
        </w:rPr>
      </w:pPr>
      <w:r w:rsidRPr="002C7B93">
        <w:rPr>
          <w:b/>
        </w:rPr>
        <w:t xml:space="preserve">Abnormal Returns and Share Pledging </w:t>
      </w:r>
    </w:p>
    <w:p w:rsidR="000D1A75" w:rsidRPr="002C7B93" w:rsidRDefault="00DC5905" w:rsidP="00353B66">
      <w:pPr>
        <w:spacing w:line="480" w:lineRule="auto"/>
        <w:jc w:val="center"/>
        <w:outlineLvl w:val="0"/>
        <w:rPr>
          <w:b/>
        </w:rPr>
      </w:pPr>
      <w:proofErr w:type="gramStart"/>
      <w:r w:rsidRPr="002C7B93">
        <w:rPr>
          <w:b/>
        </w:rPr>
        <w:t>in</w:t>
      </w:r>
      <w:proofErr w:type="gramEnd"/>
      <w:r w:rsidRPr="002C7B93">
        <w:rPr>
          <w:b/>
        </w:rPr>
        <w:t xml:space="preserve"> the Chinese Stock Market</w:t>
      </w:r>
    </w:p>
    <w:p w:rsidR="000D1A75" w:rsidRPr="002C7B93" w:rsidRDefault="000D1A75" w:rsidP="00353B66">
      <w:pPr>
        <w:spacing w:line="480" w:lineRule="auto"/>
        <w:outlineLvl w:val="0"/>
        <w:rPr>
          <w:b/>
        </w:rPr>
      </w:pPr>
    </w:p>
    <w:p w:rsidR="00FE3F68" w:rsidRPr="002C7B93" w:rsidRDefault="00FE3F68" w:rsidP="00353B66">
      <w:pPr>
        <w:spacing w:line="480" w:lineRule="auto"/>
        <w:outlineLvl w:val="0"/>
        <w:rPr>
          <w:b/>
        </w:rPr>
      </w:pPr>
    </w:p>
    <w:p w:rsidR="005479EB" w:rsidRPr="002C7B93" w:rsidRDefault="005479EB" w:rsidP="00353B66">
      <w:pPr>
        <w:spacing w:line="480" w:lineRule="auto"/>
        <w:outlineLvl w:val="0"/>
        <w:rPr>
          <w:b/>
        </w:rPr>
      </w:pPr>
    </w:p>
    <w:p w:rsidR="00353B66" w:rsidRDefault="00353B66" w:rsidP="00353B66">
      <w:pPr>
        <w:spacing w:line="480" w:lineRule="auto"/>
        <w:outlineLvl w:val="0"/>
        <w:rPr>
          <w:b/>
        </w:rPr>
      </w:pPr>
    </w:p>
    <w:p w:rsidR="00E6062A" w:rsidRDefault="00E6062A" w:rsidP="00353B66">
      <w:pPr>
        <w:spacing w:line="480" w:lineRule="auto"/>
        <w:outlineLvl w:val="0"/>
        <w:rPr>
          <w:b/>
        </w:rPr>
      </w:pPr>
    </w:p>
    <w:p w:rsidR="002F5FE8" w:rsidRPr="002C7B93" w:rsidRDefault="002F5FE8" w:rsidP="00353B66">
      <w:pPr>
        <w:spacing w:line="480" w:lineRule="auto"/>
        <w:outlineLvl w:val="0"/>
        <w:rPr>
          <w:b/>
        </w:rPr>
      </w:pPr>
    </w:p>
    <w:p w:rsidR="005E63CE" w:rsidRDefault="005E63CE" w:rsidP="00353B66">
      <w:pPr>
        <w:spacing w:line="480" w:lineRule="auto"/>
        <w:jc w:val="center"/>
        <w:rPr>
          <w:rFonts w:eastAsiaTheme="minorEastAsia"/>
          <w:b/>
          <w:lang w:eastAsia="zh-CN"/>
        </w:rPr>
      </w:pPr>
    </w:p>
    <w:p w:rsidR="005479EB" w:rsidRPr="002C7B93" w:rsidRDefault="00C472FB" w:rsidP="00353B66">
      <w:pPr>
        <w:spacing w:line="480" w:lineRule="auto"/>
        <w:jc w:val="center"/>
        <w:rPr>
          <w:rFonts w:eastAsiaTheme="minorEastAsia"/>
          <w:b/>
          <w:lang w:eastAsia="zh-CN"/>
        </w:rPr>
      </w:pPr>
      <w:proofErr w:type="spellStart"/>
      <w:r w:rsidRPr="002C7B93">
        <w:rPr>
          <w:rFonts w:eastAsiaTheme="minorEastAsia"/>
          <w:b/>
          <w:lang w:eastAsia="zh-CN"/>
        </w:rPr>
        <w:t>T</w:t>
      </w:r>
      <w:r w:rsidR="005479EB" w:rsidRPr="002C7B93">
        <w:rPr>
          <w:rFonts w:eastAsiaTheme="minorEastAsia"/>
          <w:b/>
          <w:lang w:eastAsia="zh-CN"/>
        </w:rPr>
        <w:t>ianhao</w:t>
      </w:r>
      <w:proofErr w:type="spellEnd"/>
      <w:r w:rsidR="005479EB" w:rsidRPr="002C7B93">
        <w:rPr>
          <w:rFonts w:eastAsiaTheme="minorEastAsia"/>
          <w:b/>
          <w:lang w:eastAsia="zh-CN"/>
        </w:rPr>
        <w:t xml:space="preserve"> </w:t>
      </w:r>
      <w:proofErr w:type="gramStart"/>
      <w:r w:rsidR="005479EB" w:rsidRPr="002C7B93">
        <w:rPr>
          <w:rFonts w:eastAsiaTheme="minorEastAsia"/>
          <w:b/>
          <w:lang w:eastAsia="zh-CN"/>
        </w:rPr>
        <w:t>Lan</w:t>
      </w:r>
      <w:proofErr w:type="gramEnd"/>
    </w:p>
    <w:p w:rsidR="005479EB" w:rsidRPr="002C7B93" w:rsidRDefault="005479EB" w:rsidP="00353B66">
      <w:pPr>
        <w:spacing w:line="480" w:lineRule="auto"/>
        <w:jc w:val="center"/>
        <w:rPr>
          <w:b/>
        </w:rPr>
      </w:pPr>
      <w:r w:rsidRPr="002C7B93">
        <w:rPr>
          <w:b/>
        </w:rPr>
        <w:t>ECN 495</w:t>
      </w:r>
      <w:r w:rsidR="00BE0105">
        <w:rPr>
          <w:b/>
        </w:rPr>
        <w:t>, 496</w:t>
      </w:r>
      <w:r w:rsidRPr="002C7B93">
        <w:rPr>
          <w:b/>
        </w:rPr>
        <w:t xml:space="preserve"> Economics Distinction Seminar I</w:t>
      </w:r>
      <w:r w:rsidR="00BE0105">
        <w:rPr>
          <w:b/>
        </w:rPr>
        <w:t xml:space="preserve"> II</w:t>
      </w:r>
      <w:r w:rsidRPr="002C7B93">
        <w:rPr>
          <w:b/>
        </w:rPr>
        <w:t xml:space="preserve">, </w:t>
      </w:r>
      <w:proofErr w:type="gramStart"/>
      <w:r w:rsidRPr="002C7B93">
        <w:rPr>
          <w:b/>
        </w:rPr>
        <w:t>Fall</w:t>
      </w:r>
      <w:proofErr w:type="gramEnd"/>
      <w:r w:rsidRPr="002C7B93">
        <w:rPr>
          <w:b/>
        </w:rPr>
        <w:t xml:space="preserve"> 2015</w:t>
      </w:r>
    </w:p>
    <w:p w:rsidR="005479EB" w:rsidRPr="002C7B93" w:rsidRDefault="005479EB" w:rsidP="00353B66">
      <w:pPr>
        <w:spacing w:line="480" w:lineRule="auto"/>
        <w:jc w:val="center"/>
        <w:rPr>
          <w:b/>
        </w:rPr>
      </w:pPr>
      <w:r w:rsidRPr="002C7B93">
        <w:rPr>
          <w:b/>
        </w:rPr>
        <w:t>Dr. Lovely</w:t>
      </w:r>
      <w:r w:rsidR="00FE1938">
        <w:rPr>
          <w:b/>
        </w:rPr>
        <w:t xml:space="preserve"> &amp;</w:t>
      </w:r>
      <w:r w:rsidR="00B60B18">
        <w:rPr>
          <w:b/>
        </w:rPr>
        <w:t xml:space="preserve"> Dr. </w:t>
      </w:r>
      <w:proofErr w:type="spellStart"/>
      <w:r w:rsidR="00B60B18">
        <w:rPr>
          <w:b/>
        </w:rPr>
        <w:t>Horrace</w:t>
      </w:r>
      <w:proofErr w:type="spellEnd"/>
    </w:p>
    <w:p w:rsidR="005479EB" w:rsidRPr="002C7B93" w:rsidRDefault="00FE1938" w:rsidP="00353B66">
      <w:pPr>
        <w:spacing w:line="480" w:lineRule="auto"/>
        <w:jc w:val="center"/>
        <w:outlineLvl w:val="0"/>
        <w:rPr>
          <w:b/>
        </w:rPr>
      </w:pPr>
      <w:r>
        <w:rPr>
          <w:b/>
        </w:rPr>
        <w:t>April 2016</w:t>
      </w:r>
    </w:p>
    <w:p w:rsidR="00255B5D" w:rsidRPr="009226C4" w:rsidRDefault="00255B5D" w:rsidP="004A43DE">
      <w:pPr>
        <w:spacing w:line="480" w:lineRule="auto"/>
        <w:jc w:val="center"/>
        <w:outlineLvl w:val="0"/>
        <w:rPr>
          <w:rFonts w:eastAsiaTheme="minorEastAsia"/>
          <w:b/>
          <w:lang w:eastAsia="zh-CN"/>
        </w:rPr>
      </w:pPr>
      <w:r w:rsidRPr="009226C4">
        <w:rPr>
          <w:rFonts w:eastAsiaTheme="minorEastAsia"/>
          <w:b/>
          <w:lang w:eastAsia="zh-CN"/>
        </w:rPr>
        <w:lastRenderedPageBreak/>
        <w:t>Abstract</w:t>
      </w:r>
    </w:p>
    <w:p w:rsidR="005479EB" w:rsidRPr="002C7B93" w:rsidRDefault="00F20244" w:rsidP="00CC1EB1">
      <w:pPr>
        <w:widowControl w:val="0"/>
        <w:autoSpaceDE w:val="0"/>
        <w:autoSpaceDN w:val="0"/>
        <w:adjustRightInd w:val="0"/>
        <w:spacing w:line="480" w:lineRule="auto"/>
        <w:ind w:firstLine="420"/>
        <w:rPr>
          <w:b/>
        </w:rPr>
      </w:pPr>
      <w:r>
        <w:t xml:space="preserve">My study </w:t>
      </w:r>
      <w:r w:rsidR="00A939E1">
        <w:t>discusse</w:t>
      </w:r>
      <w:r>
        <w:t>s</w:t>
      </w:r>
      <w:r w:rsidR="00CC1EB1">
        <w:t xml:space="preserve"> the connection between </w:t>
      </w:r>
      <w:r w:rsidR="00CC1EB1" w:rsidRPr="002C7B93">
        <w:t xml:space="preserve">stock pledging </w:t>
      </w:r>
      <w:r w:rsidR="00CC1EB1">
        <w:t xml:space="preserve">with </w:t>
      </w:r>
      <w:r w:rsidR="00CC1EB1" w:rsidRPr="002C7B93">
        <w:t xml:space="preserve">companies’ future expected </w:t>
      </w:r>
      <w:r w:rsidR="00CC1EB1" w:rsidRPr="00D0507A">
        <w:rPr>
          <w:color w:val="000000" w:themeColor="text1"/>
        </w:rPr>
        <w:t>value as re</w:t>
      </w:r>
      <w:r w:rsidR="00A939E1">
        <w:rPr>
          <w:color w:val="000000" w:themeColor="text1"/>
        </w:rPr>
        <w:t>flected in share price and find</w:t>
      </w:r>
      <w:r w:rsidR="00001CE9">
        <w:rPr>
          <w:color w:val="000000" w:themeColor="text1"/>
        </w:rPr>
        <w:t>s</w:t>
      </w:r>
      <w:r w:rsidR="00CC1EB1" w:rsidRPr="00D0507A">
        <w:rPr>
          <w:color w:val="000000" w:themeColor="text1"/>
        </w:rPr>
        <w:t xml:space="preserve"> out whether is it a positive effect or is it a negative effect? I </w:t>
      </w:r>
      <w:r w:rsidR="00A939E1">
        <w:rPr>
          <w:color w:val="000000" w:themeColor="text1"/>
        </w:rPr>
        <w:t>p</w:t>
      </w:r>
      <w:r w:rsidR="00A939E1" w:rsidRPr="00A939E1">
        <w:rPr>
          <w:color w:val="000000" w:themeColor="text1"/>
        </w:rPr>
        <w:t>oint that pledging provides a useful signal to investors connecting ma</w:t>
      </w:r>
      <w:r w:rsidR="00A939E1">
        <w:rPr>
          <w:color w:val="000000" w:themeColor="text1"/>
        </w:rPr>
        <w:t xml:space="preserve">rket </w:t>
      </w:r>
      <w:r w:rsidR="00A939E1" w:rsidRPr="00A939E1">
        <w:rPr>
          <w:color w:val="000000" w:themeColor="text1"/>
        </w:rPr>
        <w:t>to private information</w:t>
      </w:r>
      <w:r w:rsidR="00CC1EB1" w:rsidRPr="00D0507A">
        <w:rPr>
          <w:color w:val="000000" w:themeColor="text1"/>
        </w:rPr>
        <w:t xml:space="preserve">. </w:t>
      </w:r>
      <w:r w:rsidR="00001CE9">
        <w:rPr>
          <w:color w:val="000000" w:themeColor="text1"/>
        </w:rPr>
        <w:t>Shareholders</w:t>
      </w:r>
      <w:r>
        <w:rPr>
          <w:color w:val="000000" w:themeColor="text1"/>
        </w:rPr>
        <w:t xml:space="preserve"> can invest </w:t>
      </w:r>
      <w:r w:rsidR="00001CE9">
        <w:rPr>
          <w:color w:val="000000" w:themeColor="text1"/>
        </w:rPr>
        <w:t xml:space="preserve">in </w:t>
      </w:r>
      <w:r>
        <w:rPr>
          <w:color w:val="000000" w:themeColor="text1"/>
        </w:rPr>
        <w:t>firm</w:t>
      </w:r>
      <w:r w:rsidR="00001CE9">
        <w:rPr>
          <w:color w:val="000000" w:themeColor="text1"/>
        </w:rPr>
        <w:t xml:space="preserve">s or </w:t>
      </w:r>
      <w:r w:rsidR="00934423" w:rsidRPr="00D0507A">
        <w:rPr>
          <w:color w:val="000000" w:themeColor="text1"/>
        </w:rPr>
        <w:t>merge other firms to streng</w:t>
      </w:r>
      <w:r w:rsidR="00001CE9">
        <w:rPr>
          <w:color w:val="000000" w:themeColor="text1"/>
        </w:rPr>
        <w:t>then a firm’</w:t>
      </w:r>
      <w:r w:rsidR="00934423" w:rsidRPr="00D0507A">
        <w:rPr>
          <w:color w:val="000000" w:themeColor="text1"/>
        </w:rPr>
        <w:t>s capability. Those behaviors will be a positive signal to investors. I will examine the relationship between share pledging and the abnormal return using OLS regression and observing the capital market performance in the China-Mainland</w:t>
      </w:r>
      <w:r w:rsidR="001C4361" w:rsidRPr="00D0507A">
        <w:rPr>
          <w:color w:val="000000" w:themeColor="text1"/>
        </w:rPr>
        <w:t>.</w:t>
      </w:r>
      <w:r w:rsidR="00D0507A">
        <w:rPr>
          <w:color w:val="000000" w:themeColor="text1"/>
        </w:rPr>
        <w:t xml:space="preserve"> </w:t>
      </w:r>
      <w:r w:rsidR="00A95195" w:rsidRPr="00A95195">
        <w:rPr>
          <w:color w:val="000000" w:themeColor="text1"/>
        </w:rPr>
        <w:t>I plan to test my hypotheses with OLS regression. Observations include firms both with pledged shares and non-pledged firms. The coefficient of pledge ratio should be positive.</w:t>
      </w:r>
    </w:p>
    <w:p w:rsidR="005479EB" w:rsidRPr="002C7B93" w:rsidRDefault="005479EB" w:rsidP="00353B66">
      <w:pPr>
        <w:spacing w:line="480" w:lineRule="auto"/>
        <w:outlineLvl w:val="0"/>
        <w:rPr>
          <w:b/>
        </w:rPr>
      </w:pPr>
    </w:p>
    <w:p w:rsidR="00353B66" w:rsidRPr="002C7B93" w:rsidRDefault="00353B66" w:rsidP="00353B66">
      <w:pPr>
        <w:spacing w:line="480" w:lineRule="auto"/>
        <w:outlineLvl w:val="0"/>
        <w:rPr>
          <w:b/>
        </w:rPr>
      </w:pPr>
    </w:p>
    <w:p w:rsidR="00353B66" w:rsidRPr="002C7B93" w:rsidRDefault="00353B66" w:rsidP="00353B66">
      <w:pPr>
        <w:spacing w:line="480" w:lineRule="auto"/>
        <w:outlineLvl w:val="0"/>
        <w:rPr>
          <w:b/>
        </w:rPr>
      </w:pPr>
    </w:p>
    <w:p w:rsidR="00353B66" w:rsidRPr="002C7B93" w:rsidRDefault="00353B66" w:rsidP="00353B66">
      <w:pPr>
        <w:spacing w:line="480" w:lineRule="auto"/>
        <w:outlineLvl w:val="0"/>
        <w:rPr>
          <w:b/>
        </w:rPr>
      </w:pPr>
    </w:p>
    <w:p w:rsidR="00353B66" w:rsidRPr="002C7B93" w:rsidRDefault="00353B66" w:rsidP="00353B66">
      <w:pPr>
        <w:spacing w:line="480" w:lineRule="auto"/>
        <w:outlineLvl w:val="0"/>
        <w:rPr>
          <w:b/>
        </w:rPr>
      </w:pPr>
    </w:p>
    <w:p w:rsidR="00353B66" w:rsidRPr="002C7B93" w:rsidRDefault="00353B66" w:rsidP="00353B66">
      <w:pPr>
        <w:spacing w:line="480" w:lineRule="auto"/>
        <w:outlineLvl w:val="0"/>
        <w:rPr>
          <w:b/>
        </w:rPr>
      </w:pPr>
    </w:p>
    <w:p w:rsidR="00353B66" w:rsidRPr="002C7B93" w:rsidRDefault="00353B66" w:rsidP="00353B66">
      <w:pPr>
        <w:spacing w:line="480" w:lineRule="auto"/>
        <w:outlineLvl w:val="0"/>
        <w:rPr>
          <w:b/>
        </w:rPr>
      </w:pPr>
    </w:p>
    <w:p w:rsidR="00353B66" w:rsidRPr="002C7B93" w:rsidRDefault="00353B66" w:rsidP="00353B66">
      <w:pPr>
        <w:spacing w:line="480" w:lineRule="auto"/>
        <w:outlineLvl w:val="0"/>
        <w:rPr>
          <w:b/>
        </w:rPr>
      </w:pPr>
    </w:p>
    <w:p w:rsidR="00353B66" w:rsidRPr="002C7B93" w:rsidRDefault="00353B66" w:rsidP="00353B66">
      <w:pPr>
        <w:spacing w:line="480" w:lineRule="auto"/>
        <w:outlineLvl w:val="0"/>
        <w:rPr>
          <w:b/>
        </w:rPr>
      </w:pPr>
    </w:p>
    <w:p w:rsidR="00353B66" w:rsidRDefault="00353B66" w:rsidP="00353B66">
      <w:pPr>
        <w:spacing w:line="480" w:lineRule="auto"/>
        <w:outlineLvl w:val="0"/>
        <w:rPr>
          <w:b/>
        </w:rPr>
      </w:pPr>
    </w:p>
    <w:p w:rsidR="00A95195" w:rsidRDefault="00A95195" w:rsidP="00353B66">
      <w:pPr>
        <w:spacing w:line="480" w:lineRule="auto"/>
        <w:outlineLvl w:val="0"/>
        <w:rPr>
          <w:b/>
        </w:rPr>
      </w:pPr>
    </w:p>
    <w:p w:rsidR="00A95195" w:rsidRDefault="00A95195" w:rsidP="00353B66">
      <w:pPr>
        <w:spacing w:line="480" w:lineRule="auto"/>
        <w:outlineLvl w:val="0"/>
        <w:rPr>
          <w:b/>
        </w:rPr>
      </w:pPr>
    </w:p>
    <w:p w:rsidR="00A95195" w:rsidRDefault="00A95195" w:rsidP="00353B66">
      <w:pPr>
        <w:spacing w:line="480" w:lineRule="auto"/>
        <w:outlineLvl w:val="0"/>
        <w:rPr>
          <w:b/>
        </w:rPr>
      </w:pPr>
    </w:p>
    <w:p w:rsidR="00A95195" w:rsidRPr="002C7B93" w:rsidRDefault="00A95195" w:rsidP="00353B66">
      <w:pPr>
        <w:spacing w:line="480" w:lineRule="auto"/>
        <w:outlineLvl w:val="0"/>
        <w:rPr>
          <w:b/>
        </w:rPr>
      </w:pPr>
    </w:p>
    <w:p w:rsidR="00353B66" w:rsidRDefault="00353B66" w:rsidP="00353B66">
      <w:pPr>
        <w:spacing w:line="480" w:lineRule="auto"/>
        <w:outlineLvl w:val="0"/>
        <w:rPr>
          <w:b/>
        </w:rPr>
      </w:pPr>
    </w:p>
    <w:p w:rsidR="00312CDF" w:rsidRPr="00515ECF" w:rsidRDefault="00312CDF" w:rsidP="00312CDF">
      <w:pPr>
        <w:spacing w:line="480" w:lineRule="auto"/>
        <w:jc w:val="center"/>
        <w:outlineLvl w:val="0"/>
        <w:rPr>
          <w:b/>
        </w:rPr>
      </w:pPr>
      <w:r w:rsidRPr="00515ECF">
        <w:rPr>
          <w:b/>
        </w:rPr>
        <w:t>Acknowledgements</w:t>
      </w:r>
    </w:p>
    <w:p w:rsidR="00312CDF" w:rsidRDefault="00312CDF" w:rsidP="00312CDF">
      <w:pPr>
        <w:spacing w:line="480" w:lineRule="auto"/>
        <w:ind w:firstLine="420"/>
        <w:outlineLvl w:val="0"/>
        <w:rPr>
          <w:b/>
        </w:rPr>
      </w:pPr>
      <w:r>
        <w:t>I would like to acknowledge Professor Lovely</w:t>
      </w:r>
      <w:r w:rsidR="00421145">
        <w:t xml:space="preserve"> and Professor </w:t>
      </w:r>
      <w:proofErr w:type="spellStart"/>
      <w:r w:rsidR="00421145">
        <w:t>Horrace</w:t>
      </w:r>
      <w:proofErr w:type="spellEnd"/>
      <w:r>
        <w:t>, for the time and patience.</w:t>
      </w:r>
    </w:p>
    <w:p w:rsidR="00312CDF" w:rsidRDefault="00312CDF" w:rsidP="00353B66">
      <w:pPr>
        <w:spacing w:line="480" w:lineRule="auto"/>
        <w:outlineLvl w:val="0"/>
        <w:rPr>
          <w:b/>
        </w:rPr>
      </w:pPr>
    </w:p>
    <w:p w:rsidR="00312CDF" w:rsidRDefault="00312CDF" w:rsidP="00353B66">
      <w:pPr>
        <w:spacing w:line="480" w:lineRule="auto"/>
        <w:outlineLvl w:val="0"/>
        <w:rPr>
          <w:b/>
        </w:rPr>
      </w:pPr>
    </w:p>
    <w:p w:rsidR="00312CDF" w:rsidRDefault="00312CDF" w:rsidP="00353B66">
      <w:pPr>
        <w:spacing w:line="480" w:lineRule="auto"/>
        <w:outlineLvl w:val="0"/>
        <w:rPr>
          <w:b/>
        </w:rPr>
      </w:pPr>
    </w:p>
    <w:p w:rsidR="00312CDF" w:rsidRDefault="00312CDF" w:rsidP="00353B66">
      <w:pPr>
        <w:spacing w:line="480" w:lineRule="auto"/>
        <w:outlineLvl w:val="0"/>
        <w:rPr>
          <w:b/>
        </w:rPr>
      </w:pPr>
    </w:p>
    <w:p w:rsidR="00312CDF" w:rsidRDefault="00312CDF" w:rsidP="00353B66">
      <w:pPr>
        <w:spacing w:line="480" w:lineRule="auto"/>
        <w:outlineLvl w:val="0"/>
        <w:rPr>
          <w:b/>
        </w:rPr>
      </w:pPr>
    </w:p>
    <w:p w:rsidR="00312CDF" w:rsidRDefault="00312CDF" w:rsidP="00353B66">
      <w:pPr>
        <w:spacing w:line="480" w:lineRule="auto"/>
        <w:outlineLvl w:val="0"/>
        <w:rPr>
          <w:b/>
        </w:rPr>
      </w:pPr>
    </w:p>
    <w:p w:rsidR="00312CDF" w:rsidRDefault="00312CDF" w:rsidP="00353B66">
      <w:pPr>
        <w:spacing w:line="480" w:lineRule="auto"/>
        <w:outlineLvl w:val="0"/>
        <w:rPr>
          <w:b/>
        </w:rPr>
      </w:pPr>
    </w:p>
    <w:p w:rsidR="00312CDF" w:rsidRDefault="00312CDF" w:rsidP="00353B66">
      <w:pPr>
        <w:spacing w:line="480" w:lineRule="auto"/>
        <w:outlineLvl w:val="0"/>
        <w:rPr>
          <w:b/>
        </w:rPr>
      </w:pPr>
    </w:p>
    <w:p w:rsidR="00312CDF" w:rsidRDefault="00312CDF" w:rsidP="00353B66">
      <w:pPr>
        <w:spacing w:line="480" w:lineRule="auto"/>
        <w:outlineLvl w:val="0"/>
        <w:rPr>
          <w:b/>
        </w:rPr>
      </w:pPr>
    </w:p>
    <w:p w:rsidR="00312CDF" w:rsidRDefault="00312CDF" w:rsidP="00353B66">
      <w:pPr>
        <w:spacing w:line="480" w:lineRule="auto"/>
        <w:outlineLvl w:val="0"/>
        <w:rPr>
          <w:b/>
        </w:rPr>
      </w:pPr>
    </w:p>
    <w:p w:rsidR="00312CDF" w:rsidRDefault="00312CDF" w:rsidP="00353B66">
      <w:pPr>
        <w:spacing w:line="480" w:lineRule="auto"/>
        <w:outlineLvl w:val="0"/>
        <w:rPr>
          <w:b/>
        </w:rPr>
      </w:pPr>
    </w:p>
    <w:p w:rsidR="00312CDF" w:rsidRDefault="00312CDF" w:rsidP="00353B66">
      <w:pPr>
        <w:spacing w:line="480" w:lineRule="auto"/>
        <w:outlineLvl w:val="0"/>
        <w:rPr>
          <w:b/>
        </w:rPr>
      </w:pPr>
    </w:p>
    <w:p w:rsidR="00312CDF" w:rsidRDefault="00312CDF" w:rsidP="00353B66">
      <w:pPr>
        <w:spacing w:line="480" w:lineRule="auto"/>
        <w:outlineLvl w:val="0"/>
        <w:rPr>
          <w:b/>
        </w:rPr>
      </w:pPr>
    </w:p>
    <w:p w:rsidR="00312CDF" w:rsidRDefault="00312CDF" w:rsidP="00353B66">
      <w:pPr>
        <w:spacing w:line="480" w:lineRule="auto"/>
        <w:outlineLvl w:val="0"/>
        <w:rPr>
          <w:b/>
        </w:rPr>
      </w:pPr>
    </w:p>
    <w:p w:rsidR="00312CDF" w:rsidRDefault="00312CDF" w:rsidP="00353B66">
      <w:pPr>
        <w:spacing w:line="480" w:lineRule="auto"/>
        <w:outlineLvl w:val="0"/>
        <w:rPr>
          <w:b/>
        </w:rPr>
      </w:pPr>
    </w:p>
    <w:p w:rsidR="00312CDF" w:rsidRDefault="00312CDF" w:rsidP="00353B66">
      <w:pPr>
        <w:spacing w:line="480" w:lineRule="auto"/>
        <w:outlineLvl w:val="0"/>
        <w:rPr>
          <w:b/>
        </w:rPr>
      </w:pPr>
    </w:p>
    <w:p w:rsidR="00312CDF" w:rsidRDefault="00312CDF" w:rsidP="00353B66">
      <w:pPr>
        <w:spacing w:line="480" w:lineRule="auto"/>
        <w:outlineLvl w:val="0"/>
        <w:rPr>
          <w:b/>
        </w:rPr>
      </w:pPr>
    </w:p>
    <w:p w:rsidR="00312CDF" w:rsidRDefault="00312CDF" w:rsidP="00353B66">
      <w:pPr>
        <w:spacing w:line="480" w:lineRule="auto"/>
        <w:outlineLvl w:val="0"/>
        <w:rPr>
          <w:b/>
        </w:rPr>
      </w:pPr>
    </w:p>
    <w:p w:rsidR="005479EB" w:rsidRPr="00FA55B5" w:rsidRDefault="005479EB" w:rsidP="00FA55B5">
      <w:pPr>
        <w:spacing w:line="480" w:lineRule="auto"/>
        <w:outlineLvl w:val="0"/>
        <w:rPr>
          <w:b/>
        </w:rPr>
      </w:pPr>
      <w:r w:rsidRPr="00FA55B5">
        <w:rPr>
          <w:b/>
        </w:rPr>
        <w:lastRenderedPageBreak/>
        <w:t xml:space="preserve">Introduction </w:t>
      </w:r>
    </w:p>
    <w:p w:rsidR="0075572F" w:rsidRPr="002C7B93" w:rsidRDefault="00824178" w:rsidP="00824178">
      <w:pPr>
        <w:widowControl w:val="0"/>
        <w:autoSpaceDE w:val="0"/>
        <w:autoSpaceDN w:val="0"/>
        <w:adjustRightInd w:val="0"/>
        <w:spacing w:line="480" w:lineRule="auto"/>
        <w:ind w:firstLine="420"/>
      </w:pPr>
      <w:r w:rsidRPr="002C7B93">
        <w:t>Pledge of stock is also called the pledge of stock rights. The pledg</w:t>
      </w:r>
      <w:r w:rsidR="00CE24B8">
        <w:t>e</w:t>
      </w:r>
      <w:r w:rsidRPr="002C7B93">
        <w:t>r</w:t>
      </w:r>
      <w:r w:rsidR="00BD27BA">
        <w:t xml:space="preserve"> offers</w:t>
      </w:r>
      <w:r w:rsidR="00B53961">
        <w:t xml:space="preserve"> their </w:t>
      </w:r>
      <w:r w:rsidRPr="002C7B93">
        <w:t>stock as a pledge subject to get loans from a financial institution. It is common for shareholders to put up stock as personal collateral. According to a recent paper, 738 CEO or chairmen has completed the pledging agreement at least once in 2009 in U.S</w:t>
      </w:r>
      <w:r w:rsidR="002F3FEE">
        <w:rPr>
          <w:rStyle w:val="ad"/>
        </w:rPr>
        <w:footnoteReference w:id="1"/>
      </w:r>
      <w:r w:rsidRPr="002C7B93">
        <w:t>. The average pledged ratio is 33.3%</w:t>
      </w:r>
      <w:r w:rsidR="00BD27BA">
        <w:t xml:space="preserve"> for USA</w:t>
      </w:r>
      <w:r w:rsidRPr="002C7B93">
        <w:t>. India has even higher average pledged ratio. From 201</w:t>
      </w:r>
      <w:r w:rsidR="007B6E1A">
        <w:t>2</w:t>
      </w:r>
      <w:r w:rsidRPr="002C7B93">
        <w:t xml:space="preserve">, it is more and more common for shareholders to pledge stock in the China-Mainland stock market. </w:t>
      </w:r>
    </w:p>
    <w:p w:rsidR="0075572F" w:rsidRPr="002C7B93" w:rsidRDefault="001F474D" w:rsidP="002C7B93">
      <w:pPr>
        <w:widowControl w:val="0"/>
        <w:autoSpaceDE w:val="0"/>
        <w:autoSpaceDN w:val="0"/>
        <w:adjustRightInd w:val="0"/>
        <w:ind w:firstLine="420"/>
        <w:jc w:val="center"/>
        <w:rPr>
          <w:b/>
        </w:rPr>
      </w:pPr>
      <w:r>
        <w:rPr>
          <w:b/>
        </w:rPr>
        <w:t>TABLE.1 (</w:t>
      </w:r>
      <w:r w:rsidR="002C7B93" w:rsidRPr="002C7B93">
        <w:rPr>
          <w:b/>
        </w:rPr>
        <w:t>DESCR</w:t>
      </w:r>
      <w:r w:rsidR="007337C6">
        <w:rPr>
          <w:b/>
        </w:rPr>
        <w:t>IPTION OF SHANGHAI STOCK MARKET</w:t>
      </w:r>
      <w:r>
        <w:rPr>
          <w:b/>
        </w:rPr>
        <w:t>)</w:t>
      </w:r>
    </w:p>
    <w:tbl>
      <w:tblPr>
        <w:tblStyle w:val="a6"/>
        <w:tblW w:w="0" w:type="auto"/>
        <w:tblLook w:val="04A0" w:firstRow="1" w:lastRow="0" w:firstColumn="1" w:lastColumn="0" w:noHBand="0" w:noVBand="1"/>
      </w:tblPr>
      <w:tblGrid>
        <w:gridCol w:w="1696"/>
        <w:gridCol w:w="1068"/>
        <w:gridCol w:w="1549"/>
        <w:gridCol w:w="1383"/>
        <w:gridCol w:w="1553"/>
        <w:gridCol w:w="1213"/>
      </w:tblGrid>
      <w:tr w:rsidR="0075572F" w:rsidRPr="002C7B93" w:rsidTr="0099492C">
        <w:tc>
          <w:tcPr>
            <w:tcW w:w="1696" w:type="dxa"/>
          </w:tcPr>
          <w:p w:rsidR="0075572F" w:rsidRPr="002C7B93" w:rsidRDefault="0075572F" w:rsidP="00E65287"/>
        </w:tc>
        <w:tc>
          <w:tcPr>
            <w:tcW w:w="1068" w:type="dxa"/>
          </w:tcPr>
          <w:p w:rsidR="0075572F" w:rsidRPr="002C7B93" w:rsidRDefault="0075572F" w:rsidP="00E65287">
            <w:r w:rsidRPr="002C7B93">
              <w:t>the number of pledged share</w:t>
            </w:r>
          </w:p>
        </w:tc>
        <w:tc>
          <w:tcPr>
            <w:tcW w:w="1549" w:type="dxa"/>
          </w:tcPr>
          <w:p w:rsidR="0075572F" w:rsidRPr="002C7B93" w:rsidRDefault="0075572F" w:rsidP="00E65287">
            <w:r w:rsidRPr="002C7B93">
              <w:t>Worth money(Yuan)</w:t>
            </w:r>
          </w:p>
        </w:tc>
        <w:tc>
          <w:tcPr>
            <w:tcW w:w="1383" w:type="dxa"/>
          </w:tcPr>
          <w:p w:rsidR="0075572F" w:rsidRPr="002C7B93" w:rsidRDefault="0075572F" w:rsidP="00E65287">
            <w:r w:rsidRPr="002C7B93">
              <w:t>Discount rate</w:t>
            </w:r>
          </w:p>
        </w:tc>
        <w:tc>
          <w:tcPr>
            <w:tcW w:w="1553" w:type="dxa"/>
          </w:tcPr>
          <w:p w:rsidR="0075572F" w:rsidRPr="002C7B93" w:rsidRDefault="0075572F" w:rsidP="00E65287">
            <w:r w:rsidRPr="002C7B93">
              <w:t>Lend money(Yuan)</w:t>
            </w:r>
          </w:p>
        </w:tc>
        <w:tc>
          <w:tcPr>
            <w:tcW w:w="1213" w:type="dxa"/>
          </w:tcPr>
          <w:p w:rsidR="0075572F" w:rsidRPr="002C7B93" w:rsidRDefault="0075572F" w:rsidP="00E65287">
            <w:r w:rsidRPr="002C7B93">
              <w:t>Number of firms</w:t>
            </w:r>
          </w:p>
        </w:tc>
      </w:tr>
      <w:tr w:rsidR="0075572F" w:rsidRPr="002C7B93" w:rsidTr="0099492C">
        <w:tc>
          <w:tcPr>
            <w:tcW w:w="1696" w:type="dxa"/>
          </w:tcPr>
          <w:p w:rsidR="0075572F" w:rsidRPr="002C7B93" w:rsidRDefault="0075572F" w:rsidP="00E65287">
            <w:r w:rsidRPr="002C7B93">
              <w:t>From Jan 2014 to June 2014</w:t>
            </w:r>
          </w:p>
        </w:tc>
        <w:tc>
          <w:tcPr>
            <w:tcW w:w="1068" w:type="dxa"/>
          </w:tcPr>
          <w:p w:rsidR="0075572F" w:rsidRPr="002C7B93" w:rsidRDefault="0075572F" w:rsidP="00E65287">
            <w:r w:rsidRPr="002C7B93">
              <w:t>60.5 billion</w:t>
            </w:r>
            <w:r w:rsidR="00A0181D" w:rsidRPr="002C7B93">
              <w:t xml:space="preserve"> </w:t>
            </w:r>
          </w:p>
        </w:tc>
        <w:tc>
          <w:tcPr>
            <w:tcW w:w="1549" w:type="dxa"/>
          </w:tcPr>
          <w:p w:rsidR="0075572F" w:rsidRPr="002C7B93" w:rsidRDefault="0075572F" w:rsidP="00E65287">
            <w:r w:rsidRPr="002C7B93">
              <w:t>623.3 billion</w:t>
            </w:r>
          </w:p>
        </w:tc>
        <w:tc>
          <w:tcPr>
            <w:tcW w:w="1383" w:type="dxa"/>
          </w:tcPr>
          <w:p w:rsidR="0075572F" w:rsidRPr="002C7B93" w:rsidRDefault="0075572F" w:rsidP="00E65287">
            <w:r w:rsidRPr="002C7B93">
              <w:t>30%-50%</w:t>
            </w:r>
          </w:p>
        </w:tc>
        <w:tc>
          <w:tcPr>
            <w:tcW w:w="1553" w:type="dxa"/>
          </w:tcPr>
          <w:p w:rsidR="0075572F" w:rsidRPr="002C7B93" w:rsidRDefault="0075572F" w:rsidP="00E65287">
            <w:r w:rsidRPr="002C7B93">
              <w:t>187.0 – 311.7 billion</w:t>
            </w:r>
          </w:p>
        </w:tc>
        <w:tc>
          <w:tcPr>
            <w:tcW w:w="1213" w:type="dxa"/>
          </w:tcPr>
          <w:p w:rsidR="0075572F" w:rsidRPr="002C7B93" w:rsidRDefault="0075572F" w:rsidP="00E65287">
            <w:r w:rsidRPr="002C7B93">
              <w:t>709</w:t>
            </w:r>
          </w:p>
        </w:tc>
      </w:tr>
      <w:tr w:rsidR="0075572F" w:rsidRPr="002C7B93" w:rsidTr="0099492C">
        <w:tc>
          <w:tcPr>
            <w:tcW w:w="1696" w:type="dxa"/>
          </w:tcPr>
          <w:p w:rsidR="0075572F" w:rsidRPr="002C7B93" w:rsidRDefault="0075572F" w:rsidP="00E65287">
            <w:r w:rsidRPr="002C7B93">
              <w:t>From July 2014 to Dec 2014</w:t>
            </w:r>
          </w:p>
        </w:tc>
        <w:tc>
          <w:tcPr>
            <w:tcW w:w="1068" w:type="dxa"/>
          </w:tcPr>
          <w:p w:rsidR="0075572F" w:rsidRPr="002C7B93" w:rsidRDefault="0075572F" w:rsidP="00E65287">
            <w:r w:rsidRPr="002C7B93">
              <w:t>404.2 billion</w:t>
            </w:r>
          </w:p>
        </w:tc>
        <w:tc>
          <w:tcPr>
            <w:tcW w:w="1549" w:type="dxa"/>
          </w:tcPr>
          <w:p w:rsidR="0075572F" w:rsidRPr="002C7B93" w:rsidRDefault="0075572F" w:rsidP="00E65287">
            <w:r w:rsidRPr="002C7B93">
              <w:t>4002.2 billion</w:t>
            </w:r>
          </w:p>
        </w:tc>
        <w:tc>
          <w:tcPr>
            <w:tcW w:w="1383" w:type="dxa"/>
          </w:tcPr>
          <w:p w:rsidR="0075572F" w:rsidRPr="002C7B93" w:rsidRDefault="0075572F" w:rsidP="00E65287">
            <w:r w:rsidRPr="002C7B93">
              <w:t>30%-50%</w:t>
            </w:r>
          </w:p>
        </w:tc>
        <w:tc>
          <w:tcPr>
            <w:tcW w:w="1553" w:type="dxa"/>
          </w:tcPr>
          <w:p w:rsidR="0075572F" w:rsidRPr="002C7B93" w:rsidRDefault="0075572F" w:rsidP="00E65287">
            <w:r w:rsidRPr="002C7B93">
              <w:t>1200.7– 2001.1 billion</w:t>
            </w:r>
          </w:p>
        </w:tc>
        <w:tc>
          <w:tcPr>
            <w:tcW w:w="1213" w:type="dxa"/>
          </w:tcPr>
          <w:p w:rsidR="0075572F" w:rsidRPr="002C7B93" w:rsidRDefault="0075572F" w:rsidP="00E65287">
            <w:r w:rsidRPr="002C7B93">
              <w:t>832</w:t>
            </w:r>
          </w:p>
        </w:tc>
      </w:tr>
      <w:tr w:rsidR="0075572F" w:rsidRPr="002C7B93" w:rsidTr="0099492C">
        <w:tc>
          <w:tcPr>
            <w:tcW w:w="1696" w:type="dxa"/>
          </w:tcPr>
          <w:p w:rsidR="0075572F" w:rsidRPr="002C7B93" w:rsidRDefault="0075572F" w:rsidP="00E65287">
            <w:r w:rsidRPr="002C7B93">
              <w:t>From Jan 2015 to July 2015</w:t>
            </w:r>
          </w:p>
        </w:tc>
        <w:tc>
          <w:tcPr>
            <w:tcW w:w="1068" w:type="dxa"/>
          </w:tcPr>
          <w:p w:rsidR="0075572F" w:rsidRPr="002C7B93" w:rsidRDefault="0075572F" w:rsidP="00E65287">
            <w:r w:rsidRPr="002C7B93">
              <w:t>842 billion</w:t>
            </w:r>
          </w:p>
        </w:tc>
        <w:tc>
          <w:tcPr>
            <w:tcW w:w="1549" w:type="dxa"/>
          </w:tcPr>
          <w:p w:rsidR="0075572F" w:rsidRPr="002C7B93" w:rsidRDefault="0075572F" w:rsidP="00E65287">
            <w:r w:rsidRPr="002C7B93">
              <w:t>1547.6 billion</w:t>
            </w:r>
          </w:p>
        </w:tc>
        <w:tc>
          <w:tcPr>
            <w:tcW w:w="1383" w:type="dxa"/>
          </w:tcPr>
          <w:p w:rsidR="0075572F" w:rsidRPr="002C7B93" w:rsidRDefault="0075572F" w:rsidP="00E65287">
            <w:r w:rsidRPr="002C7B93">
              <w:t>30%-50%</w:t>
            </w:r>
          </w:p>
        </w:tc>
        <w:tc>
          <w:tcPr>
            <w:tcW w:w="1553" w:type="dxa"/>
          </w:tcPr>
          <w:p w:rsidR="0075572F" w:rsidRPr="002C7B93" w:rsidRDefault="0075572F" w:rsidP="00E65287">
            <w:r w:rsidRPr="002C7B93">
              <w:t>464.3 – 773.8 billion</w:t>
            </w:r>
          </w:p>
        </w:tc>
        <w:tc>
          <w:tcPr>
            <w:tcW w:w="1213" w:type="dxa"/>
          </w:tcPr>
          <w:p w:rsidR="0075572F" w:rsidRPr="002C7B93" w:rsidRDefault="0075572F" w:rsidP="00E65287">
            <w:r w:rsidRPr="002C7B93">
              <w:t>973</w:t>
            </w:r>
          </w:p>
        </w:tc>
      </w:tr>
    </w:tbl>
    <w:p w:rsidR="00827361" w:rsidRPr="00827361" w:rsidRDefault="007337C6" w:rsidP="00827361">
      <w:pPr>
        <w:pStyle w:val="Default"/>
        <w:numPr>
          <w:ilvl w:val="0"/>
          <w:numId w:val="24"/>
        </w:numPr>
        <w:spacing w:line="480" w:lineRule="auto"/>
      </w:pPr>
      <w:r w:rsidRPr="00827361">
        <w:rPr>
          <w:rFonts w:hint="eastAsia"/>
        </w:rPr>
        <w:t>*</w:t>
      </w:r>
      <w:r w:rsidRPr="00827361">
        <w:t xml:space="preserve"> </w:t>
      </w:r>
      <w:r w:rsidRPr="00827361">
        <w:rPr>
          <w:i/>
        </w:rPr>
        <w:t>FROM WIND INFO</w:t>
      </w:r>
      <w:r w:rsidR="00827361" w:rsidRPr="00827361">
        <w:rPr>
          <w:i/>
        </w:rPr>
        <w:t xml:space="preserve">, Investment Report, </w:t>
      </w:r>
      <w:proofErr w:type="spellStart"/>
      <w:r w:rsidR="00827361" w:rsidRPr="00827361">
        <w:rPr>
          <w:i/>
        </w:rPr>
        <w:t>AnXin</w:t>
      </w:r>
      <w:proofErr w:type="spellEnd"/>
      <w:r w:rsidR="00827361" w:rsidRPr="00827361">
        <w:rPr>
          <w:i/>
        </w:rPr>
        <w:t xml:space="preserve"> Security, July, 2015</w:t>
      </w:r>
    </w:p>
    <w:p w:rsidR="00CD5311" w:rsidRPr="00B468FE" w:rsidRDefault="00B468FE" w:rsidP="00B468FE">
      <w:pPr>
        <w:spacing w:line="480" w:lineRule="auto"/>
        <w:outlineLvl w:val="0"/>
        <w:rPr>
          <w:rFonts w:eastAsiaTheme="minorEastAsia"/>
        </w:rPr>
      </w:pPr>
      <w:r>
        <w:rPr>
          <w:rFonts w:eastAsiaTheme="minorEastAsia"/>
        </w:rPr>
        <w:t xml:space="preserve">In the table 1, in the China-Mainland Market, the number of pledged shares, the number of firms, and the value of pledged shares increase during 2014-2015. It is a signal that there are more and more shareholders who believe pledged shares will increase return </w:t>
      </w:r>
    </w:p>
    <w:p w:rsidR="00CD5311" w:rsidRDefault="00CD5311" w:rsidP="00CD5311">
      <w:pPr>
        <w:outlineLvl w:val="0"/>
        <w:rPr>
          <w:rFonts w:eastAsiaTheme="minorEastAsia"/>
          <w:b/>
        </w:rPr>
      </w:pPr>
    </w:p>
    <w:p w:rsidR="00CD5311" w:rsidRDefault="00CD5311" w:rsidP="00CD5311">
      <w:pPr>
        <w:outlineLvl w:val="0"/>
        <w:rPr>
          <w:rFonts w:eastAsiaTheme="minorEastAsia"/>
          <w:b/>
        </w:rPr>
      </w:pPr>
    </w:p>
    <w:p w:rsidR="00CD5311" w:rsidRDefault="00CD5311" w:rsidP="00CD5311">
      <w:pPr>
        <w:outlineLvl w:val="0"/>
        <w:rPr>
          <w:rFonts w:eastAsiaTheme="minorEastAsia"/>
          <w:b/>
        </w:rPr>
      </w:pPr>
    </w:p>
    <w:p w:rsidR="00CD5311" w:rsidRDefault="00CD5311" w:rsidP="00CD5311">
      <w:pPr>
        <w:outlineLvl w:val="0"/>
        <w:rPr>
          <w:rFonts w:eastAsiaTheme="minorEastAsia"/>
          <w:b/>
        </w:rPr>
      </w:pPr>
    </w:p>
    <w:p w:rsidR="00CD5311" w:rsidRDefault="00CD5311" w:rsidP="00CD5311">
      <w:pPr>
        <w:outlineLvl w:val="0"/>
        <w:rPr>
          <w:rFonts w:eastAsiaTheme="minorEastAsia"/>
          <w:b/>
        </w:rPr>
      </w:pPr>
    </w:p>
    <w:p w:rsidR="00CD5311" w:rsidRDefault="00CD5311" w:rsidP="00CD5311">
      <w:pPr>
        <w:outlineLvl w:val="0"/>
        <w:rPr>
          <w:rFonts w:eastAsiaTheme="minorEastAsia"/>
          <w:b/>
        </w:rPr>
      </w:pPr>
    </w:p>
    <w:p w:rsidR="00CD5311" w:rsidRDefault="00CD5311" w:rsidP="00CD5311">
      <w:pPr>
        <w:outlineLvl w:val="0"/>
        <w:rPr>
          <w:rFonts w:eastAsiaTheme="minorEastAsia"/>
          <w:b/>
        </w:rPr>
      </w:pPr>
    </w:p>
    <w:p w:rsidR="00CD5311" w:rsidRDefault="00CD5311" w:rsidP="00CD5311">
      <w:pPr>
        <w:outlineLvl w:val="0"/>
        <w:rPr>
          <w:rFonts w:eastAsiaTheme="minorEastAsia"/>
          <w:b/>
        </w:rPr>
      </w:pPr>
    </w:p>
    <w:p w:rsidR="00CD5311" w:rsidRDefault="00CD5311" w:rsidP="00CD5311">
      <w:pPr>
        <w:outlineLvl w:val="0"/>
        <w:rPr>
          <w:rFonts w:eastAsiaTheme="minorEastAsia"/>
          <w:b/>
        </w:rPr>
      </w:pPr>
    </w:p>
    <w:p w:rsidR="00CD5311" w:rsidRDefault="00CD5311" w:rsidP="00CD5311">
      <w:pPr>
        <w:outlineLvl w:val="0"/>
        <w:rPr>
          <w:rFonts w:eastAsiaTheme="minorEastAsia"/>
          <w:b/>
        </w:rPr>
      </w:pPr>
    </w:p>
    <w:p w:rsidR="00CD5311" w:rsidRPr="00CD5311" w:rsidRDefault="00CD5311" w:rsidP="00CD5311">
      <w:pPr>
        <w:outlineLvl w:val="0"/>
        <w:rPr>
          <w:rFonts w:eastAsiaTheme="minorEastAsia"/>
          <w:b/>
        </w:rPr>
      </w:pPr>
      <w:r w:rsidRPr="00CD5311">
        <w:rPr>
          <w:rFonts w:eastAsiaTheme="minorEastAsia"/>
          <w:b/>
        </w:rPr>
        <w:lastRenderedPageBreak/>
        <w:t>TBALE.2 (PLEDGING INFORMATION OF CHINA-MAINLAND, U.S, INDIA AND TAIWAN)</w:t>
      </w:r>
    </w:p>
    <w:tbl>
      <w:tblPr>
        <w:tblStyle w:val="a6"/>
        <w:tblW w:w="10314" w:type="dxa"/>
        <w:tblLook w:val="04A0" w:firstRow="1" w:lastRow="0" w:firstColumn="1" w:lastColumn="0" w:noHBand="0" w:noVBand="1"/>
      </w:tblPr>
      <w:tblGrid>
        <w:gridCol w:w="1577"/>
        <w:gridCol w:w="1955"/>
        <w:gridCol w:w="2173"/>
        <w:gridCol w:w="1648"/>
        <w:gridCol w:w="2961"/>
      </w:tblGrid>
      <w:tr w:rsidR="00CD5311" w:rsidRPr="002C7B93" w:rsidTr="00642527">
        <w:tc>
          <w:tcPr>
            <w:tcW w:w="1577" w:type="dxa"/>
          </w:tcPr>
          <w:p w:rsidR="00CD5311" w:rsidRPr="002C7B93" w:rsidRDefault="00CD5311" w:rsidP="00642527">
            <w:pPr>
              <w:outlineLvl w:val="0"/>
            </w:pPr>
          </w:p>
        </w:tc>
        <w:tc>
          <w:tcPr>
            <w:tcW w:w="1955" w:type="dxa"/>
          </w:tcPr>
          <w:p w:rsidR="00CD5311" w:rsidRPr="002C7B93" w:rsidRDefault="00CD5311" w:rsidP="00642527">
            <w:pPr>
              <w:outlineLvl w:val="0"/>
              <w:rPr>
                <w:rFonts w:eastAsiaTheme="minorEastAsia"/>
                <w:lang w:eastAsia="zh-CN"/>
              </w:rPr>
            </w:pPr>
            <w:r w:rsidRPr="002C7B93">
              <w:rPr>
                <w:rFonts w:eastAsiaTheme="minorEastAsia"/>
                <w:lang w:eastAsia="zh-CN"/>
              </w:rPr>
              <w:t>Listed Company</w:t>
            </w:r>
          </w:p>
        </w:tc>
        <w:tc>
          <w:tcPr>
            <w:tcW w:w="2173" w:type="dxa"/>
          </w:tcPr>
          <w:p w:rsidR="00CD5311" w:rsidRPr="002C7B93" w:rsidRDefault="00CD5311" w:rsidP="00642527">
            <w:pPr>
              <w:outlineLvl w:val="0"/>
              <w:rPr>
                <w:rFonts w:eastAsiaTheme="minorEastAsia"/>
                <w:lang w:eastAsia="zh-CN"/>
              </w:rPr>
            </w:pPr>
            <w:r w:rsidRPr="002C7B93">
              <w:rPr>
                <w:rFonts w:eastAsiaTheme="minorEastAsia"/>
                <w:lang w:eastAsia="zh-CN"/>
              </w:rPr>
              <w:t>Pledged Share Company</w:t>
            </w:r>
          </w:p>
        </w:tc>
        <w:tc>
          <w:tcPr>
            <w:tcW w:w="1648" w:type="dxa"/>
          </w:tcPr>
          <w:p w:rsidR="00CD5311" w:rsidRPr="002C7B93" w:rsidRDefault="00CD5311" w:rsidP="00642527">
            <w:pPr>
              <w:outlineLvl w:val="0"/>
              <w:rPr>
                <w:rFonts w:eastAsiaTheme="minorEastAsia"/>
                <w:lang w:eastAsia="zh-CN"/>
              </w:rPr>
            </w:pPr>
            <w:r w:rsidRPr="002C7B93">
              <w:rPr>
                <w:rFonts w:eastAsiaTheme="minorEastAsia"/>
                <w:lang w:eastAsia="zh-CN"/>
              </w:rPr>
              <w:t>%</w:t>
            </w:r>
          </w:p>
        </w:tc>
        <w:tc>
          <w:tcPr>
            <w:tcW w:w="2961" w:type="dxa"/>
          </w:tcPr>
          <w:p w:rsidR="00CD5311" w:rsidRPr="002C7B93" w:rsidRDefault="00CD5311" w:rsidP="00642527">
            <w:pPr>
              <w:outlineLvl w:val="0"/>
              <w:rPr>
                <w:rFonts w:eastAsiaTheme="minorEastAsia"/>
                <w:lang w:eastAsia="zh-CN"/>
              </w:rPr>
            </w:pPr>
            <w:r w:rsidRPr="002C7B93">
              <w:rPr>
                <w:rFonts w:eastAsiaTheme="minorEastAsia"/>
                <w:lang w:eastAsia="zh-CN"/>
              </w:rPr>
              <w:t>Average Percentage of Share Pledges</w:t>
            </w:r>
          </w:p>
        </w:tc>
      </w:tr>
      <w:tr w:rsidR="00CD5311" w:rsidRPr="002C7B93" w:rsidTr="00642527">
        <w:trPr>
          <w:trHeight w:val="342"/>
        </w:trPr>
        <w:tc>
          <w:tcPr>
            <w:tcW w:w="1577" w:type="dxa"/>
          </w:tcPr>
          <w:p w:rsidR="00CD5311" w:rsidRPr="002C7B93" w:rsidRDefault="00CD5311" w:rsidP="00642527">
            <w:pPr>
              <w:outlineLvl w:val="0"/>
              <w:rPr>
                <w:rFonts w:eastAsiaTheme="minorEastAsia"/>
                <w:lang w:eastAsia="zh-CN"/>
              </w:rPr>
            </w:pPr>
            <w:r w:rsidRPr="002C7B93">
              <w:rPr>
                <w:rFonts w:eastAsiaTheme="minorEastAsia"/>
                <w:lang w:eastAsia="zh-CN"/>
              </w:rPr>
              <w:t>China</w:t>
            </w:r>
          </w:p>
        </w:tc>
        <w:tc>
          <w:tcPr>
            <w:tcW w:w="1955" w:type="dxa"/>
          </w:tcPr>
          <w:p w:rsidR="00CD5311" w:rsidRPr="002C7B93" w:rsidRDefault="00CD5311" w:rsidP="00642527">
            <w:pPr>
              <w:outlineLvl w:val="0"/>
              <w:rPr>
                <w:rFonts w:eastAsiaTheme="minorEastAsia"/>
                <w:lang w:eastAsia="zh-CN"/>
              </w:rPr>
            </w:pPr>
            <w:r w:rsidRPr="002C7B93">
              <w:rPr>
                <w:rFonts w:eastAsiaTheme="minorEastAsia"/>
                <w:lang w:eastAsia="zh-CN"/>
              </w:rPr>
              <w:t>2494</w:t>
            </w:r>
          </w:p>
        </w:tc>
        <w:tc>
          <w:tcPr>
            <w:tcW w:w="2173" w:type="dxa"/>
          </w:tcPr>
          <w:p w:rsidR="00CD5311" w:rsidRPr="002C7B93" w:rsidRDefault="00CD5311" w:rsidP="00642527">
            <w:pPr>
              <w:outlineLvl w:val="0"/>
              <w:rPr>
                <w:rFonts w:eastAsiaTheme="minorEastAsia"/>
                <w:lang w:eastAsia="zh-CN"/>
              </w:rPr>
            </w:pPr>
            <w:r w:rsidRPr="002C7B93">
              <w:rPr>
                <w:rFonts w:eastAsiaTheme="minorEastAsia"/>
                <w:lang w:eastAsia="zh-CN"/>
              </w:rPr>
              <w:t>973</w:t>
            </w:r>
          </w:p>
        </w:tc>
        <w:tc>
          <w:tcPr>
            <w:tcW w:w="1648" w:type="dxa"/>
          </w:tcPr>
          <w:p w:rsidR="00CD5311" w:rsidRPr="002C7B93" w:rsidRDefault="00CD5311" w:rsidP="00642527">
            <w:pPr>
              <w:outlineLvl w:val="0"/>
              <w:rPr>
                <w:rFonts w:eastAsiaTheme="minorEastAsia"/>
                <w:lang w:eastAsia="zh-CN"/>
              </w:rPr>
            </w:pPr>
            <w:r w:rsidRPr="002C7B93">
              <w:rPr>
                <w:rFonts w:eastAsiaTheme="minorEastAsia"/>
                <w:lang w:eastAsia="zh-CN"/>
              </w:rPr>
              <w:t>39.01%</w:t>
            </w:r>
          </w:p>
        </w:tc>
        <w:tc>
          <w:tcPr>
            <w:tcW w:w="2961" w:type="dxa"/>
          </w:tcPr>
          <w:p w:rsidR="00CD5311" w:rsidRPr="002C7B93" w:rsidRDefault="00CD5311" w:rsidP="00642527">
            <w:pPr>
              <w:outlineLvl w:val="0"/>
              <w:rPr>
                <w:rFonts w:eastAsiaTheme="minorEastAsia"/>
                <w:lang w:eastAsia="zh-CN"/>
              </w:rPr>
            </w:pPr>
          </w:p>
        </w:tc>
      </w:tr>
      <w:tr w:rsidR="00CD5311" w:rsidRPr="002C7B93" w:rsidTr="00642527">
        <w:trPr>
          <w:trHeight w:val="207"/>
        </w:trPr>
        <w:tc>
          <w:tcPr>
            <w:tcW w:w="1577" w:type="dxa"/>
          </w:tcPr>
          <w:p w:rsidR="00CD5311" w:rsidRPr="002C7B93" w:rsidRDefault="00CD5311" w:rsidP="00642527">
            <w:pPr>
              <w:outlineLvl w:val="0"/>
              <w:rPr>
                <w:rFonts w:eastAsiaTheme="minorEastAsia"/>
                <w:lang w:eastAsia="zh-CN"/>
              </w:rPr>
            </w:pPr>
            <w:r w:rsidRPr="002C7B93">
              <w:rPr>
                <w:rFonts w:eastAsiaTheme="minorEastAsia"/>
                <w:lang w:eastAsia="zh-CN"/>
              </w:rPr>
              <w:t>U.S(2006)</w:t>
            </w:r>
          </w:p>
        </w:tc>
        <w:tc>
          <w:tcPr>
            <w:tcW w:w="1955" w:type="dxa"/>
          </w:tcPr>
          <w:p w:rsidR="00CD5311" w:rsidRPr="002C7B93" w:rsidRDefault="00CD5311" w:rsidP="00642527">
            <w:pPr>
              <w:outlineLvl w:val="0"/>
              <w:rPr>
                <w:rFonts w:eastAsiaTheme="minorEastAsia"/>
                <w:lang w:eastAsia="zh-CN"/>
              </w:rPr>
            </w:pPr>
            <w:r w:rsidRPr="002C7B93">
              <w:rPr>
                <w:rFonts w:eastAsiaTheme="minorEastAsia"/>
                <w:lang w:eastAsia="zh-CN"/>
              </w:rPr>
              <w:t>5133</w:t>
            </w:r>
          </w:p>
        </w:tc>
        <w:tc>
          <w:tcPr>
            <w:tcW w:w="2173" w:type="dxa"/>
          </w:tcPr>
          <w:p w:rsidR="00CD5311" w:rsidRPr="002C7B93" w:rsidRDefault="00CD5311" w:rsidP="00642527">
            <w:pPr>
              <w:outlineLvl w:val="0"/>
              <w:rPr>
                <w:rFonts w:eastAsiaTheme="minorEastAsia"/>
                <w:lang w:eastAsia="zh-CN"/>
              </w:rPr>
            </w:pPr>
            <w:r w:rsidRPr="002C7B93">
              <w:rPr>
                <w:rFonts w:eastAsiaTheme="minorEastAsia"/>
                <w:lang w:eastAsia="zh-CN"/>
              </w:rPr>
              <w:t>982</w:t>
            </w:r>
          </w:p>
        </w:tc>
        <w:tc>
          <w:tcPr>
            <w:tcW w:w="1648" w:type="dxa"/>
          </w:tcPr>
          <w:p w:rsidR="00CD5311" w:rsidRPr="002C7B93" w:rsidRDefault="00CD5311" w:rsidP="00642527">
            <w:pPr>
              <w:outlineLvl w:val="0"/>
              <w:rPr>
                <w:rFonts w:eastAsiaTheme="minorEastAsia"/>
                <w:lang w:eastAsia="zh-CN"/>
              </w:rPr>
            </w:pPr>
            <w:r w:rsidRPr="002C7B93">
              <w:rPr>
                <w:rFonts w:eastAsiaTheme="minorEastAsia"/>
                <w:lang w:eastAsia="zh-CN"/>
              </w:rPr>
              <w:t>19.13%</w:t>
            </w:r>
          </w:p>
        </w:tc>
        <w:tc>
          <w:tcPr>
            <w:tcW w:w="2961" w:type="dxa"/>
          </w:tcPr>
          <w:p w:rsidR="00CD5311" w:rsidRPr="002C7B93" w:rsidRDefault="00CD5311" w:rsidP="00642527">
            <w:pPr>
              <w:outlineLvl w:val="0"/>
              <w:rPr>
                <w:rFonts w:eastAsiaTheme="minorEastAsia"/>
                <w:lang w:eastAsia="zh-CN"/>
              </w:rPr>
            </w:pPr>
          </w:p>
        </w:tc>
      </w:tr>
      <w:tr w:rsidR="00CD5311" w:rsidRPr="002C7B93" w:rsidTr="00642527">
        <w:tc>
          <w:tcPr>
            <w:tcW w:w="1577" w:type="dxa"/>
          </w:tcPr>
          <w:p w:rsidR="00CD5311" w:rsidRPr="002C7B93" w:rsidRDefault="00CD5311" w:rsidP="00642527">
            <w:pPr>
              <w:outlineLvl w:val="0"/>
              <w:rPr>
                <w:rFonts w:eastAsiaTheme="minorEastAsia"/>
                <w:lang w:eastAsia="zh-CN"/>
              </w:rPr>
            </w:pPr>
            <w:r w:rsidRPr="002C7B93">
              <w:rPr>
                <w:rFonts w:eastAsiaTheme="minorEastAsia"/>
                <w:lang w:eastAsia="zh-CN"/>
              </w:rPr>
              <w:t>U.S(2009)</w:t>
            </w:r>
          </w:p>
        </w:tc>
        <w:tc>
          <w:tcPr>
            <w:tcW w:w="1955" w:type="dxa"/>
          </w:tcPr>
          <w:p w:rsidR="00CD5311" w:rsidRPr="002C7B93" w:rsidRDefault="00CD5311" w:rsidP="00642527">
            <w:pPr>
              <w:outlineLvl w:val="0"/>
              <w:rPr>
                <w:rFonts w:eastAsiaTheme="minorEastAsia"/>
                <w:lang w:eastAsia="zh-CN"/>
              </w:rPr>
            </w:pPr>
            <w:r w:rsidRPr="002C7B93">
              <w:rPr>
                <w:rFonts w:eastAsiaTheme="minorEastAsia"/>
                <w:lang w:eastAsia="zh-CN"/>
              </w:rPr>
              <w:t>5265</w:t>
            </w:r>
          </w:p>
        </w:tc>
        <w:tc>
          <w:tcPr>
            <w:tcW w:w="2173" w:type="dxa"/>
          </w:tcPr>
          <w:p w:rsidR="00CD5311" w:rsidRPr="002C7B93" w:rsidRDefault="00CD5311" w:rsidP="00642527">
            <w:pPr>
              <w:outlineLvl w:val="0"/>
              <w:rPr>
                <w:rFonts w:eastAsiaTheme="minorEastAsia"/>
                <w:lang w:eastAsia="zh-CN"/>
              </w:rPr>
            </w:pPr>
            <w:r w:rsidRPr="002C7B93">
              <w:rPr>
                <w:rFonts w:eastAsiaTheme="minorEastAsia"/>
                <w:lang w:eastAsia="zh-CN"/>
              </w:rPr>
              <w:t>738</w:t>
            </w:r>
          </w:p>
        </w:tc>
        <w:tc>
          <w:tcPr>
            <w:tcW w:w="1648" w:type="dxa"/>
          </w:tcPr>
          <w:p w:rsidR="00CD5311" w:rsidRPr="002C7B93" w:rsidRDefault="00CD5311" w:rsidP="00642527">
            <w:pPr>
              <w:outlineLvl w:val="0"/>
            </w:pPr>
            <w:r w:rsidRPr="002C7B93">
              <w:rPr>
                <w:rFonts w:eastAsiaTheme="minorEastAsia"/>
                <w:lang w:eastAsia="zh-CN"/>
              </w:rPr>
              <w:t>14.02%</w:t>
            </w:r>
          </w:p>
        </w:tc>
        <w:tc>
          <w:tcPr>
            <w:tcW w:w="2961" w:type="dxa"/>
          </w:tcPr>
          <w:p w:rsidR="00CD5311" w:rsidRPr="002C7B93" w:rsidRDefault="00CD5311" w:rsidP="00642527">
            <w:pPr>
              <w:outlineLvl w:val="0"/>
              <w:rPr>
                <w:rFonts w:eastAsiaTheme="minorEastAsia"/>
                <w:lang w:eastAsia="zh-CN"/>
              </w:rPr>
            </w:pPr>
            <w:r w:rsidRPr="002C7B93">
              <w:rPr>
                <w:rFonts w:eastAsiaTheme="minorEastAsia"/>
                <w:lang w:eastAsia="zh-CN"/>
              </w:rPr>
              <w:t>33.3%</w:t>
            </w:r>
          </w:p>
        </w:tc>
      </w:tr>
      <w:tr w:rsidR="00CD5311" w:rsidRPr="002C7B93" w:rsidTr="00642527">
        <w:tc>
          <w:tcPr>
            <w:tcW w:w="1577" w:type="dxa"/>
          </w:tcPr>
          <w:p w:rsidR="00CD5311" w:rsidRPr="002C7B93" w:rsidRDefault="00CD5311" w:rsidP="00642527">
            <w:pPr>
              <w:outlineLvl w:val="0"/>
              <w:rPr>
                <w:rFonts w:eastAsiaTheme="minorEastAsia"/>
                <w:lang w:eastAsia="zh-CN"/>
              </w:rPr>
            </w:pPr>
            <w:r w:rsidRPr="002C7B93">
              <w:rPr>
                <w:rFonts w:eastAsiaTheme="minorEastAsia"/>
                <w:lang w:eastAsia="zh-CN"/>
              </w:rPr>
              <w:t>India</w:t>
            </w:r>
          </w:p>
        </w:tc>
        <w:tc>
          <w:tcPr>
            <w:tcW w:w="1955" w:type="dxa"/>
          </w:tcPr>
          <w:p w:rsidR="00CD5311" w:rsidRPr="002C7B93" w:rsidRDefault="00CD5311" w:rsidP="00642527">
            <w:pPr>
              <w:outlineLvl w:val="0"/>
              <w:rPr>
                <w:rFonts w:eastAsiaTheme="minorEastAsia"/>
                <w:lang w:eastAsia="zh-CN"/>
              </w:rPr>
            </w:pPr>
            <w:r w:rsidRPr="002C7B93">
              <w:rPr>
                <w:rFonts w:eastAsiaTheme="minorEastAsia"/>
                <w:lang w:eastAsia="zh-CN"/>
              </w:rPr>
              <w:t>5191</w:t>
            </w:r>
          </w:p>
        </w:tc>
        <w:tc>
          <w:tcPr>
            <w:tcW w:w="2173" w:type="dxa"/>
          </w:tcPr>
          <w:p w:rsidR="00CD5311" w:rsidRPr="002C7B93" w:rsidRDefault="00CD5311" w:rsidP="00642527">
            <w:pPr>
              <w:outlineLvl w:val="0"/>
              <w:rPr>
                <w:rFonts w:eastAsiaTheme="minorEastAsia"/>
                <w:lang w:eastAsia="zh-CN"/>
              </w:rPr>
            </w:pPr>
            <w:r w:rsidRPr="002C7B93">
              <w:rPr>
                <w:rFonts w:eastAsiaTheme="minorEastAsia"/>
                <w:lang w:eastAsia="zh-CN"/>
              </w:rPr>
              <w:t>523</w:t>
            </w:r>
          </w:p>
        </w:tc>
        <w:tc>
          <w:tcPr>
            <w:tcW w:w="1648" w:type="dxa"/>
          </w:tcPr>
          <w:p w:rsidR="00CD5311" w:rsidRPr="002C7B93" w:rsidRDefault="00CD5311" w:rsidP="00642527">
            <w:pPr>
              <w:outlineLvl w:val="0"/>
              <w:rPr>
                <w:rFonts w:eastAsiaTheme="minorEastAsia"/>
                <w:lang w:eastAsia="zh-CN"/>
              </w:rPr>
            </w:pPr>
            <w:r w:rsidRPr="002C7B93">
              <w:rPr>
                <w:rFonts w:eastAsiaTheme="minorEastAsia"/>
                <w:lang w:eastAsia="zh-CN"/>
              </w:rPr>
              <w:t>10.075%</w:t>
            </w:r>
          </w:p>
        </w:tc>
        <w:tc>
          <w:tcPr>
            <w:tcW w:w="2961" w:type="dxa"/>
          </w:tcPr>
          <w:p w:rsidR="00CD5311" w:rsidRPr="002C7B93" w:rsidRDefault="00CD5311" w:rsidP="00642527">
            <w:pPr>
              <w:outlineLvl w:val="0"/>
              <w:rPr>
                <w:rFonts w:eastAsiaTheme="minorEastAsia"/>
                <w:lang w:eastAsia="zh-CN"/>
              </w:rPr>
            </w:pPr>
            <w:r w:rsidRPr="002C7B93">
              <w:rPr>
                <w:rFonts w:eastAsiaTheme="minorEastAsia"/>
                <w:lang w:eastAsia="zh-CN"/>
              </w:rPr>
              <w:t>67.615%</w:t>
            </w:r>
          </w:p>
        </w:tc>
      </w:tr>
      <w:tr w:rsidR="00CD5311" w:rsidRPr="002C7B93" w:rsidTr="00642527">
        <w:tc>
          <w:tcPr>
            <w:tcW w:w="1577" w:type="dxa"/>
          </w:tcPr>
          <w:p w:rsidR="00CD5311" w:rsidRPr="002C7B93" w:rsidRDefault="00CD5311" w:rsidP="00642527">
            <w:pPr>
              <w:outlineLvl w:val="0"/>
              <w:rPr>
                <w:rFonts w:eastAsiaTheme="minorEastAsia"/>
                <w:lang w:eastAsia="zh-CN"/>
              </w:rPr>
            </w:pPr>
            <w:r w:rsidRPr="002C7B93">
              <w:rPr>
                <w:rFonts w:eastAsiaTheme="minorEastAsia"/>
                <w:lang w:eastAsia="zh-CN"/>
              </w:rPr>
              <w:t>Taiwan(2011)</w:t>
            </w:r>
          </w:p>
        </w:tc>
        <w:tc>
          <w:tcPr>
            <w:tcW w:w="1955" w:type="dxa"/>
          </w:tcPr>
          <w:p w:rsidR="00CD5311" w:rsidRPr="002C7B93" w:rsidRDefault="00CD5311" w:rsidP="00642527">
            <w:pPr>
              <w:outlineLvl w:val="0"/>
              <w:rPr>
                <w:rFonts w:eastAsiaTheme="minorEastAsia"/>
                <w:lang w:eastAsia="zh-CN"/>
              </w:rPr>
            </w:pPr>
            <w:r w:rsidRPr="002C7B93">
              <w:rPr>
                <w:rFonts w:eastAsiaTheme="minorEastAsia"/>
                <w:lang w:eastAsia="zh-CN"/>
              </w:rPr>
              <w:t>692</w:t>
            </w:r>
          </w:p>
        </w:tc>
        <w:tc>
          <w:tcPr>
            <w:tcW w:w="2173" w:type="dxa"/>
          </w:tcPr>
          <w:p w:rsidR="00CD5311" w:rsidRPr="002C7B93" w:rsidRDefault="00CD5311" w:rsidP="00642527">
            <w:pPr>
              <w:outlineLvl w:val="0"/>
              <w:rPr>
                <w:rFonts w:eastAsiaTheme="minorEastAsia"/>
                <w:lang w:eastAsia="zh-CN"/>
              </w:rPr>
            </w:pPr>
          </w:p>
        </w:tc>
        <w:tc>
          <w:tcPr>
            <w:tcW w:w="1648" w:type="dxa"/>
          </w:tcPr>
          <w:p w:rsidR="00CD5311" w:rsidRPr="002C7B93" w:rsidRDefault="00CD5311" w:rsidP="00642527">
            <w:pPr>
              <w:outlineLvl w:val="0"/>
              <w:rPr>
                <w:rFonts w:eastAsiaTheme="minorEastAsia"/>
                <w:lang w:eastAsia="zh-CN"/>
              </w:rPr>
            </w:pPr>
            <w:r w:rsidRPr="002C7B93">
              <w:rPr>
                <w:rFonts w:eastAsiaTheme="minorEastAsia"/>
                <w:lang w:eastAsia="zh-CN"/>
              </w:rPr>
              <w:t>16.2%</w:t>
            </w:r>
          </w:p>
        </w:tc>
        <w:tc>
          <w:tcPr>
            <w:tcW w:w="2961" w:type="dxa"/>
          </w:tcPr>
          <w:p w:rsidR="00CD5311" w:rsidRPr="002C7B93" w:rsidRDefault="00CD5311" w:rsidP="00642527">
            <w:pPr>
              <w:outlineLvl w:val="0"/>
              <w:rPr>
                <w:rFonts w:eastAsiaTheme="minorEastAsia"/>
                <w:lang w:eastAsia="zh-CN"/>
              </w:rPr>
            </w:pPr>
            <w:r w:rsidRPr="002C7B93">
              <w:rPr>
                <w:rFonts w:eastAsiaTheme="minorEastAsia"/>
                <w:lang w:eastAsia="zh-CN"/>
              </w:rPr>
              <w:t>10.33%</w:t>
            </w:r>
          </w:p>
        </w:tc>
      </w:tr>
    </w:tbl>
    <w:p w:rsidR="00CD5311" w:rsidRPr="00827361" w:rsidRDefault="00CD5311" w:rsidP="00CD5311">
      <w:pPr>
        <w:pStyle w:val="Default"/>
        <w:numPr>
          <w:ilvl w:val="0"/>
          <w:numId w:val="24"/>
        </w:numPr>
        <w:rPr>
          <w:bCs/>
          <w:i/>
        </w:rPr>
      </w:pPr>
      <w:r w:rsidRPr="00827361">
        <w:rPr>
          <w:i/>
        </w:rPr>
        <w:t>*</w:t>
      </w:r>
      <w:r w:rsidRPr="00827361">
        <w:rPr>
          <w:bCs/>
          <w:i/>
        </w:rPr>
        <w:t xml:space="preserve"> Anderson, Ronald, Puleo, Michael.</w:t>
      </w:r>
      <w:r w:rsidRPr="00827361">
        <w:rPr>
          <w:i/>
        </w:rPr>
        <w:t xml:space="preserve"> “</w:t>
      </w:r>
      <w:r w:rsidRPr="00827361">
        <w:rPr>
          <w:bCs/>
          <w:i/>
        </w:rPr>
        <w:t>Insiders Share-Pledging and Firm Risk.</w:t>
      </w:r>
      <w:r w:rsidRPr="00827361">
        <w:rPr>
          <w:i/>
        </w:rPr>
        <w:t>”</w:t>
      </w:r>
      <w:r w:rsidRPr="00827361">
        <w:rPr>
          <w:bCs/>
          <w:i/>
        </w:rPr>
        <w:t xml:space="preserve"> Department of Finance at Temple University, February 2015</w:t>
      </w:r>
    </w:p>
    <w:p w:rsidR="00CD5311" w:rsidRPr="00827361" w:rsidRDefault="00CD5311" w:rsidP="00CD5311">
      <w:pPr>
        <w:pStyle w:val="Default"/>
        <w:numPr>
          <w:ilvl w:val="0"/>
          <w:numId w:val="24"/>
        </w:numPr>
        <w:rPr>
          <w:i/>
        </w:rPr>
      </w:pPr>
      <w:r w:rsidRPr="00827361">
        <w:rPr>
          <w:bCs/>
          <w:i/>
        </w:rPr>
        <w:t xml:space="preserve">* Chen Anlin, Kao </w:t>
      </w:r>
      <w:proofErr w:type="spellStart"/>
      <w:r w:rsidRPr="00827361">
        <w:rPr>
          <w:bCs/>
          <w:i/>
        </w:rPr>
        <w:t>Lanfeng</w:t>
      </w:r>
      <w:proofErr w:type="spellEnd"/>
      <w:r w:rsidRPr="00827361">
        <w:rPr>
          <w:bCs/>
          <w:i/>
        </w:rPr>
        <w:t xml:space="preserve">, Chen Yi-Kai. </w:t>
      </w:r>
      <w:r w:rsidRPr="00827361">
        <w:rPr>
          <w:i/>
        </w:rPr>
        <w:t>“</w:t>
      </w:r>
      <w:r w:rsidRPr="00827361">
        <w:rPr>
          <w:bCs/>
          <w:i/>
        </w:rPr>
        <w:t>Agency Costs of Controlling Shareholder's Share Collateral with Taiwan Evidence.</w:t>
      </w:r>
      <w:r w:rsidRPr="00827361">
        <w:rPr>
          <w:i/>
        </w:rPr>
        <w:t>”</w:t>
      </w:r>
      <w:r w:rsidRPr="00827361">
        <w:rPr>
          <w:bCs/>
          <w:i/>
        </w:rPr>
        <w:t xml:space="preserve"> </w:t>
      </w:r>
      <w:r w:rsidRPr="00827361">
        <w:rPr>
          <w:rStyle w:val="journalname"/>
          <w:i/>
          <w:u w:val="single"/>
          <w:shd w:val="clear" w:color="auto" w:fill="FFFFFF"/>
        </w:rPr>
        <w:t>Review of Pacific Basin Financial Markets</w:t>
      </w:r>
      <w:r w:rsidRPr="00827361">
        <w:rPr>
          <w:rStyle w:val="journalname"/>
          <w:i/>
          <w:shd w:val="clear" w:color="auto" w:fill="FFFFFF"/>
        </w:rPr>
        <w:t xml:space="preserve"> and </w:t>
      </w:r>
      <w:r w:rsidRPr="00827361">
        <w:rPr>
          <w:i/>
          <w:shd w:val="clear" w:color="auto" w:fill="FFFFFF"/>
        </w:rPr>
        <w:t>Volume 10, Issue 02, June 2007</w:t>
      </w:r>
      <w:r w:rsidRPr="00827361">
        <w:rPr>
          <w:rStyle w:val="page"/>
          <w:i/>
          <w:shd w:val="clear" w:color="auto" w:fill="FFFFFF"/>
        </w:rPr>
        <w:t xml:space="preserve"> 173-191</w:t>
      </w:r>
      <w:r w:rsidRPr="00827361">
        <w:rPr>
          <w:rStyle w:val="apple-converted-space"/>
          <w:i/>
          <w:shd w:val="clear" w:color="auto" w:fill="FFFFFF"/>
        </w:rPr>
        <w:t> </w:t>
      </w:r>
      <w:r w:rsidRPr="00827361">
        <w:rPr>
          <w:i/>
        </w:rPr>
        <w:t xml:space="preserve"> </w:t>
      </w:r>
    </w:p>
    <w:p w:rsidR="00CD5311" w:rsidRDefault="00CD5311" w:rsidP="00CD5311">
      <w:pPr>
        <w:pStyle w:val="Default"/>
        <w:numPr>
          <w:ilvl w:val="0"/>
          <w:numId w:val="24"/>
        </w:numPr>
        <w:rPr>
          <w:i/>
        </w:rPr>
      </w:pPr>
      <w:r w:rsidRPr="00827361">
        <w:rPr>
          <w:i/>
        </w:rPr>
        <w:t xml:space="preserve">* </w:t>
      </w:r>
      <w:proofErr w:type="spellStart"/>
      <w:r w:rsidRPr="00827361">
        <w:rPr>
          <w:i/>
        </w:rPr>
        <w:t>Asija</w:t>
      </w:r>
      <w:proofErr w:type="spellEnd"/>
      <w:r w:rsidRPr="00827361">
        <w:rPr>
          <w:i/>
        </w:rPr>
        <w:t xml:space="preserve">, </w:t>
      </w:r>
      <w:proofErr w:type="spellStart"/>
      <w:r w:rsidRPr="00827361">
        <w:rPr>
          <w:i/>
        </w:rPr>
        <w:t>Aman</w:t>
      </w:r>
      <w:proofErr w:type="spellEnd"/>
      <w:r w:rsidRPr="00827361">
        <w:rPr>
          <w:i/>
        </w:rPr>
        <w:t xml:space="preserve">, </w:t>
      </w:r>
      <w:proofErr w:type="spellStart"/>
      <w:r w:rsidRPr="00827361">
        <w:rPr>
          <w:i/>
        </w:rPr>
        <w:t>Marisetty</w:t>
      </w:r>
      <w:proofErr w:type="spellEnd"/>
      <w:r w:rsidRPr="00827361">
        <w:rPr>
          <w:i/>
        </w:rPr>
        <w:t xml:space="preserve">, </w:t>
      </w:r>
      <w:proofErr w:type="spellStart"/>
      <w:r w:rsidRPr="00827361">
        <w:rPr>
          <w:i/>
        </w:rPr>
        <w:t>Vijaya</w:t>
      </w:r>
      <w:proofErr w:type="spellEnd"/>
      <w:r w:rsidRPr="00827361">
        <w:rPr>
          <w:i/>
        </w:rPr>
        <w:t xml:space="preserve"> B, </w:t>
      </w:r>
      <w:proofErr w:type="spellStart"/>
      <w:r w:rsidRPr="00827361">
        <w:rPr>
          <w:i/>
        </w:rPr>
        <w:t>Rangan</w:t>
      </w:r>
      <w:proofErr w:type="spellEnd"/>
      <w:r w:rsidRPr="00827361">
        <w:rPr>
          <w:i/>
        </w:rPr>
        <w:t xml:space="preserve">, </w:t>
      </w:r>
      <w:proofErr w:type="spellStart"/>
      <w:r w:rsidRPr="00827361">
        <w:rPr>
          <w:i/>
        </w:rPr>
        <w:t>Seinicasan</w:t>
      </w:r>
      <w:proofErr w:type="spellEnd"/>
      <w:r w:rsidRPr="00827361">
        <w:rPr>
          <w:i/>
        </w:rPr>
        <w:t>. “Do insiders Who Pledge Their Shares Manipulate Reported Earning.” RMIT University, Indian Institution of Management, December 2014</w:t>
      </w:r>
    </w:p>
    <w:p w:rsidR="007337C6" w:rsidRPr="002C7B93" w:rsidRDefault="007337C6" w:rsidP="002C7B93">
      <w:pPr>
        <w:widowControl w:val="0"/>
        <w:autoSpaceDE w:val="0"/>
        <w:autoSpaceDN w:val="0"/>
        <w:adjustRightInd w:val="0"/>
        <w:ind w:firstLine="420"/>
      </w:pPr>
    </w:p>
    <w:p w:rsidR="00B468FE" w:rsidRPr="00B468FE" w:rsidRDefault="00B468FE" w:rsidP="00C663F6">
      <w:pPr>
        <w:widowControl w:val="0"/>
        <w:autoSpaceDE w:val="0"/>
        <w:autoSpaceDN w:val="0"/>
        <w:adjustRightInd w:val="0"/>
        <w:spacing w:line="480" w:lineRule="auto"/>
        <w:ind w:firstLine="360"/>
        <w:rPr>
          <w:rFonts w:eastAsiaTheme="minorEastAsia"/>
          <w:lang w:eastAsia="zh-CN"/>
        </w:rPr>
      </w:pPr>
      <w:r>
        <w:rPr>
          <w:rFonts w:eastAsiaTheme="minorEastAsia"/>
          <w:lang w:eastAsia="zh-CN"/>
        </w:rPr>
        <w:t xml:space="preserve">Share pledging happens all over the world. Table.2 presents number of pledged shares and listed companies in China, U.S, India, and Taiwan, which indicates share pledging not only happens in China. </w:t>
      </w:r>
    </w:p>
    <w:p w:rsidR="00600773" w:rsidRPr="002C7B93" w:rsidRDefault="00824178" w:rsidP="00B468FE">
      <w:pPr>
        <w:widowControl w:val="0"/>
        <w:autoSpaceDE w:val="0"/>
        <w:autoSpaceDN w:val="0"/>
        <w:adjustRightInd w:val="0"/>
        <w:spacing w:line="480" w:lineRule="auto"/>
        <w:ind w:firstLine="360"/>
      </w:pPr>
      <w:r w:rsidRPr="002C7B93">
        <w:t xml:space="preserve">This topic is worth to study because of the fact that pledging of shares is the unique form that is a difference from other forms of pledging. Using stocks as collateral can make various results because the value of stocks is changing while the stock price changes every day. When equity pledge is completed, the financial institution becomes the debtor by the agreement, and the pledgee shall be the creditor. There is a valid period of the agreement. After that date, shareholders will repurchase their shares. </w:t>
      </w:r>
      <w:bookmarkStart w:id="0" w:name="_GoBack"/>
      <w:bookmarkEnd w:id="0"/>
    </w:p>
    <w:p w:rsidR="00824178" w:rsidRDefault="000F6444" w:rsidP="00824178">
      <w:pPr>
        <w:widowControl w:val="0"/>
        <w:autoSpaceDE w:val="0"/>
        <w:autoSpaceDN w:val="0"/>
        <w:adjustRightInd w:val="0"/>
        <w:spacing w:line="480" w:lineRule="auto"/>
        <w:ind w:firstLine="420"/>
      </w:pPr>
      <w:r w:rsidRPr="00AA3190">
        <w:rPr>
          <w:rFonts w:eastAsiaTheme="minorEastAsia"/>
          <w:color w:val="000000"/>
        </w:rPr>
        <w:t>Anderson and Puleo (2015)</w:t>
      </w:r>
      <w:r>
        <w:rPr>
          <w:rFonts w:eastAsiaTheme="minorEastAsia"/>
          <w:color w:val="000000"/>
        </w:rPr>
        <w:t xml:space="preserve"> have studied the connection between pledged share, firm risk and abnormal return</w:t>
      </w:r>
      <w:r w:rsidR="00824178" w:rsidRPr="002C7B93">
        <w:t xml:space="preserve">. Thus, I decide to make my research question more direct and clear. My research question is that does stock pledging change companies’ future expected value as reflected in share price? If it does, is it a positive effect? Or is it a negative effect? Measuring return by </w:t>
      </w:r>
      <w:r>
        <w:t>Abnormal Return</w:t>
      </w:r>
      <w:r w:rsidR="00824178" w:rsidRPr="002C7B93">
        <w:t>, will the high rate of pledging share increase its return?</w:t>
      </w:r>
    </w:p>
    <w:p w:rsidR="006E70B9" w:rsidRPr="002C7B93" w:rsidRDefault="00824178" w:rsidP="00824178">
      <w:pPr>
        <w:widowControl w:val="0"/>
        <w:autoSpaceDE w:val="0"/>
        <w:autoSpaceDN w:val="0"/>
        <w:adjustRightInd w:val="0"/>
        <w:spacing w:line="480" w:lineRule="auto"/>
        <w:ind w:firstLine="420"/>
        <w:rPr>
          <w:rFonts w:eastAsiaTheme="minorEastAsia"/>
          <w:color w:val="000000" w:themeColor="text1"/>
          <w:lang w:eastAsia="zh-CN"/>
        </w:rPr>
      </w:pPr>
      <w:r w:rsidRPr="002C7B93">
        <w:lastRenderedPageBreak/>
        <w:t xml:space="preserve">The purpose of this paper is to estimate the effects of pledging stock in the Chinese stock market. Theory relates pledging-share’s abnormal return to the rate of stock pledging, controlling for all other factors that influence share return for every individual stock at </w:t>
      </w:r>
      <w:proofErr w:type="gramStart"/>
      <w:r w:rsidRPr="002C7B93">
        <w:t>SSE(</w:t>
      </w:r>
      <w:proofErr w:type="gramEnd"/>
      <w:r w:rsidRPr="002C7B93">
        <w:t xml:space="preserve">Shanghai Stock Exchange). By observing period from 2013-2015, measuring stock price by </w:t>
      </w:r>
      <w:r w:rsidR="00F65B2B">
        <w:t>panel</w:t>
      </w:r>
      <w:r w:rsidRPr="002C7B93">
        <w:t xml:space="preserve"> regression analysis. The dependent variable, abnormal return, is defined as the increasing percentage of stock price subtracting increasing percentage of SSE index. The independent variable, rat</w:t>
      </w:r>
      <w:r w:rsidR="003F2D01">
        <w:t>io</w:t>
      </w:r>
      <w:r w:rsidRPr="002C7B93">
        <w:t xml:space="preserve"> of pledging share, is defined as the ratio of a value of pledged share owned by shareholders to the total value of shares owned by shareholders. Pledg</w:t>
      </w:r>
      <w:r w:rsidR="00C663F6">
        <w:t>e</w:t>
      </w:r>
      <w:r w:rsidRPr="002C7B93">
        <w:t>rs are defined as a group of stockholders who pledge their shares. The theory is tested using firms that raise funds with pledged shares and those who do not pledge shares.</w:t>
      </w:r>
    </w:p>
    <w:p w:rsidR="00181E02" w:rsidRPr="00FA55B5" w:rsidRDefault="00181E02" w:rsidP="00FA55B5">
      <w:pPr>
        <w:widowControl w:val="0"/>
        <w:autoSpaceDE w:val="0"/>
        <w:autoSpaceDN w:val="0"/>
        <w:adjustRightInd w:val="0"/>
        <w:spacing w:line="480" w:lineRule="auto"/>
        <w:rPr>
          <w:rFonts w:eastAsiaTheme="minorEastAsia"/>
          <w:b/>
          <w:color w:val="000000" w:themeColor="text1"/>
        </w:rPr>
      </w:pPr>
      <w:r w:rsidRPr="00FA55B5">
        <w:rPr>
          <w:rFonts w:eastAsiaTheme="minorEastAsia"/>
          <w:b/>
          <w:color w:val="000000" w:themeColor="text1"/>
        </w:rPr>
        <w:t>Literature Review</w:t>
      </w:r>
    </w:p>
    <w:p w:rsidR="0035218B" w:rsidRPr="00AA3190" w:rsidRDefault="00556155" w:rsidP="00AA3190">
      <w:pPr>
        <w:spacing w:line="480" w:lineRule="auto"/>
        <w:ind w:firstLine="420"/>
        <w:outlineLvl w:val="0"/>
        <w:rPr>
          <w:rFonts w:eastAsiaTheme="minorEastAsia"/>
          <w:color w:val="000000"/>
        </w:rPr>
      </w:pPr>
      <w:r w:rsidRPr="00AA3190">
        <w:rPr>
          <w:rFonts w:eastAsiaTheme="minorEastAsia"/>
          <w:color w:val="000000"/>
        </w:rPr>
        <w:t xml:space="preserve">Chopra and </w:t>
      </w:r>
      <w:proofErr w:type="spellStart"/>
      <w:r w:rsidRPr="00AA3190">
        <w:rPr>
          <w:rFonts w:eastAsiaTheme="minorEastAsia"/>
          <w:color w:val="000000"/>
        </w:rPr>
        <w:t>Lakonishok</w:t>
      </w:r>
      <w:proofErr w:type="spellEnd"/>
      <w:r w:rsidRPr="00AA3190">
        <w:rPr>
          <w:rFonts w:eastAsiaTheme="minorEastAsia"/>
          <w:color w:val="000000"/>
        </w:rPr>
        <w:t xml:space="preserve"> (1992)</w:t>
      </w:r>
      <w:r w:rsidR="0035218B" w:rsidRPr="00AA3190">
        <w:rPr>
          <w:rFonts w:eastAsiaTheme="minorEastAsia"/>
          <w:color w:val="000000"/>
        </w:rPr>
        <w:t xml:space="preserve"> introduces me many concepts about the measurement of stock. However, Measuring Abnormal Performance studies the overreaction effect from tax-loss selling effects in the U.S capital market. Its dataset is before 1990, and the regression only used 52 observations. Those are shortages of the article. Thus, the major contribution of this article to my paper is to introduce me the measurement of stock, which is Abnormal Return.</w:t>
      </w:r>
    </w:p>
    <w:p w:rsidR="00304A6F" w:rsidRPr="00AA3190" w:rsidRDefault="00304A6F" w:rsidP="00AA3190">
      <w:pPr>
        <w:spacing w:line="480" w:lineRule="auto"/>
        <w:ind w:firstLine="420"/>
        <w:outlineLvl w:val="0"/>
        <w:rPr>
          <w:rFonts w:eastAsiaTheme="minorEastAsia"/>
          <w:color w:val="000000"/>
        </w:rPr>
      </w:pPr>
      <w:r w:rsidRPr="00AA3190">
        <w:rPr>
          <w:rFonts w:eastAsiaTheme="minorEastAsia"/>
          <w:color w:val="000000"/>
        </w:rPr>
        <w:t>Wang (2015)</w:t>
      </w:r>
      <w:r w:rsidRPr="00AA3190">
        <w:rPr>
          <w:rFonts w:eastAsiaTheme="minorEastAsia"/>
          <w:i/>
          <w:color w:val="000000"/>
        </w:rPr>
        <w:t xml:space="preserve"> </w:t>
      </w:r>
      <w:r w:rsidRPr="00AA3190">
        <w:rPr>
          <w:rFonts w:eastAsiaTheme="minorEastAsia"/>
          <w:color w:val="000000"/>
        </w:rPr>
        <w:t>is connecting the pledged share with the abnormal return, and Wang</w:t>
      </w:r>
      <w:r w:rsidR="00C66B62" w:rsidRPr="00AA3190">
        <w:rPr>
          <w:rFonts w:eastAsiaTheme="minorEastAsia"/>
          <w:color w:val="000000"/>
        </w:rPr>
        <w:t xml:space="preserve"> </w:t>
      </w:r>
      <w:r w:rsidRPr="00AA3190">
        <w:rPr>
          <w:rFonts w:eastAsiaTheme="minorEastAsia"/>
          <w:color w:val="000000"/>
        </w:rPr>
        <w:t xml:space="preserve">(2015) did a great job by analyzing the factors of </w:t>
      </w:r>
      <w:r w:rsidR="00C66B62" w:rsidRPr="00AA3190">
        <w:rPr>
          <w:rFonts w:eastAsiaTheme="minorEastAsia"/>
          <w:color w:val="000000"/>
        </w:rPr>
        <w:t>the abnormal return</w:t>
      </w:r>
      <w:r w:rsidR="00497804" w:rsidRPr="00AA3190">
        <w:rPr>
          <w:rFonts w:eastAsiaTheme="minorEastAsia"/>
          <w:color w:val="000000"/>
        </w:rPr>
        <w:t xml:space="preserve"> </w:t>
      </w:r>
      <w:r w:rsidR="00324EB3" w:rsidRPr="00AA3190">
        <w:rPr>
          <w:rFonts w:eastAsiaTheme="minorEastAsia"/>
          <w:color w:val="000000"/>
        </w:rPr>
        <w:t>(Wang (2015</w:t>
      </w:r>
      <w:proofErr w:type="gramStart"/>
      <w:r w:rsidR="00324EB3" w:rsidRPr="00AA3190">
        <w:rPr>
          <w:rFonts w:eastAsiaTheme="minorEastAsia"/>
          <w:color w:val="000000"/>
        </w:rPr>
        <w:t>)Table</w:t>
      </w:r>
      <w:proofErr w:type="gramEnd"/>
      <w:r w:rsidR="00324EB3" w:rsidRPr="00AA3190">
        <w:rPr>
          <w:rFonts w:eastAsiaTheme="minorEastAsia"/>
          <w:color w:val="000000"/>
        </w:rPr>
        <w:t>. 4)</w:t>
      </w:r>
      <w:r w:rsidRPr="00AA3190">
        <w:rPr>
          <w:rFonts w:eastAsiaTheme="minorEastAsia"/>
          <w:color w:val="000000"/>
        </w:rPr>
        <w:t xml:space="preserve">. </w:t>
      </w:r>
      <w:r w:rsidR="00C66B62" w:rsidRPr="00AA3190">
        <w:rPr>
          <w:rFonts w:eastAsiaTheme="minorEastAsia"/>
          <w:color w:val="000000"/>
        </w:rPr>
        <w:t xml:space="preserve">I decide </w:t>
      </w:r>
      <w:r w:rsidR="001306DF" w:rsidRPr="00AA3190">
        <w:rPr>
          <w:rFonts w:eastAsiaTheme="minorEastAsia"/>
          <w:color w:val="000000"/>
        </w:rPr>
        <w:t>ABNORMAL RETURN</w:t>
      </w:r>
      <w:r w:rsidR="00C66B62" w:rsidRPr="00AA3190">
        <w:rPr>
          <w:rFonts w:eastAsiaTheme="minorEastAsia"/>
          <w:color w:val="000000"/>
        </w:rPr>
        <w:t>s (Cumulative Abnormal Return) as my dependent variable. Wang</w:t>
      </w:r>
      <w:r w:rsidR="00324EB3" w:rsidRPr="00AA3190">
        <w:rPr>
          <w:rFonts w:eastAsiaTheme="minorEastAsia"/>
          <w:color w:val="000000"/>
        </w:rPr>
        <w:t xml:space="preserve"> </w:t>
      </w:r>
      <w:r w:rsidR="00C66B62" w:rsidRPr="00AA3190">
        <w:rPr>
          <w:rFonts w:eastAsiaTheme="minorEastAsia"/>
          <w:color w:val="000000"/>
        </w:rPr>
        <w:t xml:space="preserve">(2015) gives me a direction of how to form my control groups and what is the proper method of analysis. </w:t>
      </w:r>
      <w:r w:rsidRPr="00AA3190">
        <w:rPr>
          <w:rFonts w:eastAsiaTheme="minorEastAsia"/>
          <w:color w:val="000000"/>
        </w:rPr>
        <w:t>However, I think the econometric method in the article is not as completed and mature as Chen</w:t>
      </w:r>
      <w:r w:rsidR="009E7661" w:rsidRPr="00AA3190">
        <w:rPr>
          <w:rFonts w:eastAsiaTheme="minorEastAsia"/>
          <w:color w:val="000000"/>
        </w:rPr>
        <w:t xml:space="preserve"> (2007)</w:t>
      </w:r>
      <w:r w:rsidRPr="00AA3190">
        <w:rPr>
          <w:rFonts w:eastAsiaTheme="minorEastAsia"/>
          <w:color w:val="000000"/>
        </w:rPr>
        <w:t xml:space="preserve">. I have a hard time to find the definition of variables. Because Wang should be </w:t>
      </w:r>
      <w:r w:rsidR="001306DF" w:rsidRPr="00AA3190">
        <w:rPr>
          <w:rFonts w:eastAsiaTheme="minorEastAsia"/>
          <w:color w:val="000000"/>
        </w:rPr>
        <w:lastRenderedPageBreak/>
        <w:t xml:space="preserve">Abnormal </w:t>
      </w:r>
      <w:proofErr w:type="spellStart"/>
      <w:r w:rsidR="001306DF" w:rsidRPr="00AA3190">
        <w:rPr>
          <w:rFonts w:eastAsiaTheme="minorEastAsia"/>
          <w:color w:val="000000"/>
        </w:rPr>
        <w:t>Return</w:t>
      </w:r>
      <w:r w:rsidRPr="00AA3190">
        <w:rPr>
          <w:rFonts w:eastAsiaTheme="minorEastAsia"/>
          <w:color w:val="000000"/>
        </w:rPr>
        <w:t>eful</w:t>
      </w:r>
      <w:proofErr w:type="spellEnd"/>
      <w:r w:rsidRPr="00AA3190">
        <w:rPr>
          <w:rFonts w:eastAsiaTheme="minorEastAsia"/>
          <w:color w:val="000000"/>
        </w:rPr>
        <w:t xml:space="preserve"> to pick observations, I think Wang does not do the great jobs on canceling selection bias. </w:t>
      </w:r>
      <w:r w:rsidR="00C66B62" w:rsidRPr="00AA3190">
        <w:rPr>
          <w:rFonts w:eastAsiaTheme="minorEastAsia"/>
          <w:color w:val="000000"/>
        </w:rPr>
        <w:t xml:space="preserve">Also, </w:t>
      </w:r>
      <w:r w:rsidRPr="00AA3190">
        <w:rPr>
          <w:rFonts w:eastAsiaTheme="minorEastAsia"/>
          <w:color w:val="000000"/>
        </w:rPr>
        <w:t>Wang does not use dummy variable as well.</w:t>
      </w:r>
    </w:p>
    <w:p w:rsidR="0035218B" w:rsidRPr="00AA3190" w:rsidRDefault="002C7B93" w:rsidP="00AA3190">
      <w:pPr>
        <w:spacing w:line="480" w:lineRule="auto"/>
        <w:ind w:firstLine="420"/>
        <w:outlineLvl w:val="0"/>
        <w:rPr>
          <w:rFonts w:eastAsiaTheme="minorEastAsia"/>
          <w:color w:val="000000"/>
        </w:rPr>
      </w:pPr>
      <w:r w:rsidRPr="00AA3190">
        <w:rPr>
          <w:rFonts w:eastAsiaTheme="minorEastAsia"/>
          <w:color w:val="000000"/>
        </w:rPr>
        <w:t xml:space="preserve">Chen (2007) </w:t>
      </w:r>
      <w:r w:rsidR="0035218B" w:rsidRPr="00AA3190">
        <w:rPr>
          <w:rFonts w:eastAsiaTheme="minorEastAsia"/>
          <w:color w:val="000000"/>
        </w:rPr>
        <w:t xml:space="preserve">is the most important one to my research. Taiwan and China-Mainland have a similar financial regulation system. </w:t>
      </w:r>
      <w:r w:rsidR="00304A6F" w:rsidRPr="00AA3190">
        <w:rPr>
          <w:rFonts w:eastAsiaTheme="minorEastAsia"/>
          <w:color w:val="000000"/>
        </w:rPr>
        <w:t>Chen (2007) helps me build the structure of my regression model.</w:t>
      </w:r>
      <w:r w:rsidR="0035218B" w:rsidRPr="00AA3190">
        <w:rPr>
          <w:rFonts w:eastAsiaTheme="minorEastAsia"/>
          <w:color w:val="000000"/>
        </w:rPr>
        <w:t xml:space="preserve"> </w:t>
      </w:r>
      <w:r w:rsidR="00CD14CC" w:rsidRPr="00AA3190">
        <w:rPr>
          <w:rFonts w:eastAsiaTheme="minorEastAsia"/>
          <w:color w:val="000000"/>
        </w:rPr>
        <w:t xml:space="preserve">Also, </w:t>
      </w:r>
      <w:r w:rsidR="001F474D" w:rsidRPr="00AA3190">
        <w:rPr>
          <w:rFonts w:eastAsiaTheme="minorEastAsia"/>
          <w:color w:val="000000"/>
        </w:rPr>
        <w:t>Table.4 is a reference from Chen (2007)</w:t>
      </w:r>
      <w:r w:rsidR="00CD14CC" w:rsidRPr="00AA3190">
        <w:rPr>
          <w:rFonts w:eastAsiaTheme="minorEastAsia"/>
          <w:color w:val="000000"/>
        </w:rPr>
        <w:t xml:space="preserve">. </w:t>
      </w:r>
      <w:r w:rsidR="0035218B" w:rsidRPr="00AA3190">
        <w:rPr>
          <w:rFonts w:eastAsiaTheme="minorEastAsia"/>
          <w:color w:val="000000"/>
        </w:rPr>
        <w:t xml:space="preserve">I get my specification from Chen’s Model and use related control variables. I add two more control variables since I think they are important to reflect firms’ operating capabilities. </w:t>
      </w:r>
    </w:p>
    <w:p w:rsidR="004C16C6" w:rsidRPr="00AA3190" w:rsidRDefault="001F474D" w:rsidP="00AA3190">
      <w:pPr>
        <w:spacing w:line="480" w:lineRule="auto"/>
        <w:ind w:firstLine="420"/>
        <w:outlineLvl w:val="0"/>
        <w:rPr>
          <w:rFonts w:eastAsiaTheme="minorEastAsia"/>
          <w:color w:val="000000"/>
        </w:rPr>
      </w:pPr>
      <w:r>
        <w:rPr>
          <w:rFonts w:eastAsiaTheme="minorEastAsia"/>
          <w:color w:val="000000"/>
        </w:rPr>
        <w:t xml:space="preserve">I plan to run the sample distribution by industry, and </w:t>
      </w:r>
      <w:bookmarkStart w:id="1" w:name="OLE_LINK1"/>
      <w:proofErr w:type="spellStart"/>
      <w:r w:rsidR="008B027B" w:rsidRPr="008B027B">
        <w:rPr>
          <w:rFonts w:eastAsiaTheme="minorEastAsia"/>
          <w:color w:val="000000"/>
        </w:rPr>
        <w:t>Asija</w:t>
      </w:r>
      <w:proofErr w:type="spellEnd"/>
      <w:r w:rsidR="008B027B" w:rsidRPr="008B027B">
        <w:rPr>
          <w:rFonts w:eastAsiaTheme="minorEastAsia"/>
          <w:color w:val="000000"/>
        </w:rPr>
        <w:t xml:space="preserve">, </w:t>
      </w:r>
      <w:proofErr w:type="spellStart"/>
      <w:r w:rsidR="008B027B" w:rsidRPr="008B027B">
        <w:rPr>
          <w:rFonts w:eastAsiaTheme="minorEastAsia"/>
          <w:color w:val="000000"/>
        </w:rPr>
        <w:t>Marisetty</w:t>
      </w:r>
      <w:proofErr w:type="spellEnd"/>
      <w:r w:rsidR="008B027B" w:rsidRPr="008B027B">
        <w:rPr>
          <w:rFonts w:eastAsiaTheme="minorEastAsia"/>
          <w:color w:val="000000"/>
        </w:rPr>
        <w:t xml:space="preserve">, and </w:t>
      </w:r>
      <w:proofErr w:type="spellStart"/>
      <w:r w:rsidR="008B027B" w:rsidRPr="008B027B">
        <w:rPr>
          <w:rFonts w:eastAsiaTheme="minorEastAsia"/>
          <w:color w:val="000000"/>
        </w:rPr>
        <w:t>Rangan</w:t>
      </w:r>
      <w:proofErr w:type="spellEnd"/>
      <w:r w:rsidR="008B027B" w:rsidRPr="008B027B">
        <w:rPr>
          <w:rFonts w:eastAsiaTheme="minorEastAsia"/>
          <w:color w:val="000000"/>
        </w:rPr>
        <w:t xml:space="preserve"> (2014)</w:t>
      </w:r>
      <w:bookmarkEnd w:id="1"/>
      <w:r w:rsidR="00556155" w:rsidRPr="002C7B93">
        <w:rPr>
          <w:rFonts w:eastAsiaTheme="minorEastAsia"/>
          <w:i/>
          <w:color w:val="000000"/>
        </w:rPr>
        <w:t xml:space="preserve"> </w:t>
      </w:r>
      <w:r>
        <w:rPr>
          <w:rFonts w:eastAsiaTheme="minorEastAsia"/>
          <w:color w:val="000000"/>
        </w:rPr>
        <w:t xml:space="preserve">provides me an example of that distribution. Also, </w:t>
      </w:r>
      <w:proofErr w:type="spellStart"/>
      <w:r w:rsidRPr="008B027B">
        <w:rPr>
          <w:rFonts w:eastAsiaTheme="minorEastAsia"/>
          <w:color w:val="000000"/>
        </w:rPr>
        <w:t>Asija</w:t>
      </w:r>
      <w:proofErr w:type="spellEnd"/>
      <w:r w:rsidRPr="008B027B">
        <w:rPr>
          <w:rFonts w:eastAsiaTheme="minorEastAsia"/>
          <w:color w:val="000000"/>
        </w:rPr>
        <w:t xml:space="preserve">, </w:t>
      </w:r>
      <w:proofErr w:type="spellStart"/>
      <w:r w:rsidRPr="008B027B">
        <w:rPr>
          <w:rFonts w:eastAsiaTheme="minorEastAsia"/>
          <w:color w:val="000000"/>
        </w:rPr>
        <w:t>Marisetty</w:t>
      </w:r>
      <w:proofErr w:type="spellEnd"/>
      <w:r w:rsidRPr="008B027B">
        <w:rPr>
          <w:rFonts w:eastAsiaTheme="minorEastAsia"/>
          <w:color w:val="000000"/>
        </w:rPr>
        <w:t xml:space="preserve">, and </w:t>
      </w:r>
      <w:proofErr w:type="spellStart"/>
      <w:r w:rsidRPr="008B027B">
        <w:rPr>
          <w:rFonts w:eastAsiaTheme="minorEastAsia"/>
          <w:color w:val="000000"/>
        </w:rPr>
        <w:t>Rangan</w:t>
      </w:r>
      <w:proofErr w:type="spellEnd"/>
      <w:r w:rsidRPr="008B027B">
        <w:rPr>
          <w:rFonts w:eastAsiaTheme="minorEastAsia"/>
          <w:color w:val="000000"/>
        </w:rPr>
        <w:t xml:space="preserve"> (2014)</w:t>
      </w:r>
      <w:r>
        <w:rPr>
          <w:rFonts w:eastAsiaTheme="minorEastAsia"/>
          <w:color w:val="000000"/>
        </w:rPr>
        <w:t xml:space="preserve"> shows the way to use OLS and 2SLS regression. </w:t>
      </w:r>
      <w:r w:rsidR="00FA7B4B">
        <w:rPr>
          <w:rFonts w:eastAsiaTheme="minorEastAsia"/>
          <w:color w:val="000000"/>
        </w:rPr>
        <w:t>I did not see the clear statement of OLS and 2SLS regression. That is why I have the fifth reference.</w:t>
      </w:r>
      <w:r w:rsidR="0035218B" w:rsidRPr="002C7B93">
        <w:rPr>
          <w:rFonts w:eastAsiaTheme="minorEastAsia"/>
          <w:color w:val="000000"/>
        </w:rPr>
        <w:t xml:space="preserve"> </w:t>
      </w:r>
    </w:p>
    <w:p w:rsidR="0035218B" w:rsidRDefault="0035218B" w:rsidP="00AA3190">
      <w:pPr>
        <w:spacing w:line="480" w:lineRule="auto"/>
        <w:ind w:firstLine="420"/>
        <w:outlineLvl w:val="0"/>
        <w:rPr>
          <w:rFonts w:eastAsiaTheme="minorEastAsia"/>
          <w:color w:val="000000"/>
        </w:rPr>
      </w:pPr>
      <w:r w:rsidRPr="00AA3190">
        <w:rPr>
          <w:rFonts w:eastAsiaTheme="minorEastAsia"/>
          <w:color w:val="000000"/>
        </w:rPr>
        <w:t>Anderson and Puleo</w:t>
      </w:r>
      <w:r w:rsidR="00AC1342" w:rsidRPr="00AA3190">
        <w:rPr>
          <w:rFonts w:eastAsiaTheme="minorEastAsia"/>
          <w:color w:val="000000"/>
        </w:rPr>
        <w:t xml:space="preserve"> </w:t>
      </w:r>
      <w:r w:rsidR="00FC71AA" w:rsidRPr="00AA3190">
        <w:rPr>
          <w:rFonts w:eastAsiaTheme="minorEastAsia"/>
          <w:color w:val="000000"/>
        </w:rPr>
        <w:t>(2015)</w:t>
      </w:r>
      <w:r w:rsidRPr="00AA3190">
        <w:rPr>
          <w:rFonts w:eastAsiaTheme="minorEastAsia"/>
          <w:color w:val="000000"/>
        </w:rPr>
        <w:t xml:space="preserve"> studying the relationship between share-pledging and firm risk. The measurement of share pledging they used in the article is great.</w:t>
      </w:r>
      <w:r w:rsidR="0076431E" w:rsidRPr="00AA3190">
        <w:rPr>
          <w:rFonts w:eastAsiaTheme="minorEastAsia"/>
          <w:color w:val="000000"/>
        </w:rPr>
        <w:t xml:space="preserve"> The major contribution that Anderson and Puleo (2015) made to my study is that Anderson and Puleo (2015) shows me the way to apply OLS regression in stock analysis.</w:t>
      </w:r>
      <w:r w:rsidRPr="00AA3190">
        <w:rPr>
          <w:rFonts w:eastAsiaTheme="minorEastAsia"/>
          <w:color w:val="000000"/>
        </w:rPr>
        <w:t xml:space="preserve"> </w:t>
      </w:r>
      <w:r w:rsidR="0076431E" w:rsidRPr="00AA3190">
        <w:rPr>
          <w:rFonts w:eastAsiaTheme="minorEastAsia"/>
          <w:color w:val="000000"/>
        </w:rPr>
        <w:t>Anderson and Puleo (2015)</w:t>
      </w:r>
      <w:r w:rsidRPr="00AA3190">
        <w:rPr>
          <w:rFonts w:eastAsiaTheme="minorEastAsia"/>
          <w:color w:val="000000"/>
        </w:rPr>
        <w:t xml:space="preserve"> have the statistical information of U.S firms with share pledging. The explanation of OLS regression is impressive. I learn a lot about how to use OLS regression into my research.</w:t>
      </w:r>
    </w:p>
    <w:p w:rsidR="00AA3190" w:rsidRPr="00AA3190" w:rsidRDefault="00AA3190" w:rsidP="00AA3190">
      <w:pPr>
        <w:spacing w:line="480" w:lineRule="auto"/>
        <w:ind w:firstLine="420"/>
        <w:outlineLvl w:val="0"/>
      </w:pPr>
      <w:r w:rsidRPr="00AA3190">
        <w:t>I have combined specifications of Anderson (2015), Chen (2007), and Wang (2015). Chen (2007) has R&amp;D as one of the control variables which I do not, because I cannot find data from my sources. Wang (2015) has very few variables but my variable “market return” comes from its “</w:t>
      </w:r>
      <w:proofErr w:type="spellStart"/>
      <w:r w:rsidRPr="00AA3190">
        <w:t>Market_Event</w:t>
      </w:r>
      <w:proofErr w:type="spellEnd"/>
      <w:r w:rsidRPr="00AA3190">
        <w:t>”. Anderson (2015) has the most similar specification with mine. However, Anderson (2015) studies the connection between pledged shares and firm risk.</w:t>
      </w:r>
    </w:p>
    <w:p w:rsidR="007B3914" w:rsidRPr="002C7B93" w:rsidRDefault="007B3914" w:rsidP="00353B66">
      <w:pPr>
        <w:widowControl w:val="0"/>
        <w:autoSpaceDE w:val="0"/>
        <w:autoSpaceDN w:val="0"/>
        <w:adjustRightInd w:val="0"/>
        <w:spacing w:line="480" w:lineRule="auto"/>
        <w:ind w:firstLine="420"/>
        <w:rPr>
          <w:rFonts w:eastAsiaTheme="minorEastAsia"/>
          <w:color w:val="000000" w:themeColor="text1"/>
          <w:lang w:eastAsia="zh-CN"/>
        </w:rPr>
      </w:pPr>
    </w:p>
    <w:p w:rsidR="000D1A75" w:rsidRPr="00FA55B5" w:rsidRDefault="000D1A75" w:rsidP="00FA55B5">
      <w:pPr>
        <w:widowControl w:val="0"/>
        <w:autoSpaceDE w:val="0"/>
        <w:autoSpaceDN w:val="0"/>
        <w:adjustRightInd w:val="0"/>
        <w:spacing w:line="480" w:lineRule="auto"/>
        <w:rPr>
          <w:b/>
        </w:rPr>
      </w:pPr>
      <w:r w:rsidRPr="00FA55B5">
        <w:rPr>
          <w:b/>
        </w:rPr>
        <w:lastRenderedPageBreak/>
        <w:t xml:space="preserve">THEORETICAL FRAMEWORK: </w:t>
      </w:r>
    </w:p>
    <w:p w:rsidR="00B53961" w:rsidRDefault="00B53961" w:rsidP="00B53961">
      <w:pPr>
        <w:spacing w:line="480" w:lineRule="auto"/>
        <w:ind w:firstLine="420"/>
        <w:outlineLvl w:val="0"/>
      </w:pPr>
      <w:r>
        <w:t>In 2009, there are 738 pledged share companies out of 5265 listed firms in U.S</w:t>
      </w:r>
      <w:r w:rsidR="00AA3190">
        <w:rPr>
          <w:rStyle w:val="ad"/>
        </w:rPr>
        <w:footnoteReference w:id="2"/>
      </w:r>
      <w:r>
        <w:t xml:space="preserve">. Normally, when shareholders pledge stocks, it will put their ownership under the risk. However, there are still 738 pledged share firms in U.S with the mature </w:t>
      </w:r>
      <w:r w:rsidR="00F31F5E">
        <w:t>regulation system. The ratio of</w:t>
      </w:r>
      <w:r>
        <w:t xml:space="preserve"> firms with pledged shares is 14.02%, which is smaller than the ratio of the Chinese market.</w:t>
      </w:r>
      <w:r w:rsidR="00F31F5E">
        <w:t xml:space="preserve"> Therefore, there are certain number of pledg</w:t>
      </w:r>
      <w:r w:rsidR="000F6444">
        <w:t>e</w:t>
      </w:r>
      <w:r w:rsidR="00F31F5E">
        <w:t>rs under the mature regulation system, and that is why share pledging is explainable and worth to study.</w:t>
      </w:r>
      <w:r>
        <w:t xml:space="preserve"> In my analysis, I conclude two reasons. The first one is the growth of U.S economy after the Subprime Crisis. Reflecting in the stock market, NASDAQ Composite index increases from 1377 to 2461 (2009-2010). Back to 2006, NASDAQ Composite index is between 2009-2800, and the number of firms with pledged share is 982</w:t>
      </w:r>
      <w:r w:rsidR="00AA3190">
        <w:rPr>
          <w:rStyle w:val="ad"/>
        </w:rPr>
        <w:footnoteReference w:id="3"/>
      </w:r>
      <w:r>
        <w:t xml:space="preserve">. The number of firms with pledged share in 2006 is much bigger than that number in 2009. Therefore, I believe ratio for U.S firms with pledged shares is extremely low in 2009 because of the effect of Subprime Crisis. The receding economy decreases investors’ investment desire and causes the owners of listed companies to implement conservation operating strategies.   </w:t>
      </w:r>
    </w:p>
    <w:p w:rsidR="00B53961" w:rsidRDefault="00B53961" w:rsidP="00B53961">
      <w:pPr>
        <w:spacing w:line="480" w:lineRule="auto"/>
        <w:outlineLvl w:val="0"/>
      </w:pPr>
    </w:p>
    <w:p w:rsidR="00CD5311" w:rsidRPr="00CD5311" w:rsidRDefault="00B53961" w:rsidP="00CD5311">
      <w:pPr>
        <w:spacing w:line="480" w:lineRule="auto"/>
        <w:ind w:firstLine="420"/>
        <w:outlineLvl w:val="0"/>
      </w:pPr>
      <w:r>
        <w:t xml:space="preserve">On the other hand, Chinese stock market is in the </w:t>
      </w:r>
      <w:r w:rsidR="00686A62">
        <w:t>Ascend</w:t>
      </w:r>
      <w:r>
        <w:t xml:space="preserve"> market from 2011 to 2014. There are the new over-the-counter market, growth enterprise market and main-board market under the Chinese stock market. They all have different capital value and the number of different firms. Small bank lending and development of Internet Corporates can also cause the high ratio of share pledging in China. However, there is only 19% difference between Chinese stock market and U.S stock market, even though U.S has the mature financial regulation system. Thus, I believe share pledging is an efficient investment strategy and a positive signal for investors and owners.</w:t>
      </w:r>
    </w:p>
    <w:p w:rsidR="00B53961" w:rsidRDefault="00B53961" w:rsidP="00001CE9">
      <w:pPr>
        <w:spacing w:line="480" w:lineRule="auto"/>
        <w:ind w:firstLine="420"/>
        <w:outlineLvl w:val="0"/>
      </w:pPr>
      <w:r>
        <w:lastRenderedPageBreak/>
        <w:t xml:space="preserve">There are plenty of factors that would cause a stock price to go up. In my understanding, the stock price is connected with </w:t>
      </w:r>
      <w:r w:rsidR="00001CE9">
        <w:t xml:space="preserve">an </w:t>
      </w:r>
      <w:r>
        <w:t>individual investor’s psychology. For instance, if a firm’s stock price is $10, the reason to drive the stock pri</w:t>
      </w:r>
      <w:r w:rsidR="00001CE9">
        <w:t>ce to go up to $12 is someone is</w:t>
      </w:r>
      <w:r>
        <w:t xml:space="preserve"> willing to purchase the stock at $12. He owns the stock at $12 because he believes the value of the firm is still underestimated. Share pledging is one of the factors that makes investors believe the value of this firm is underestimated. The process of making abnormal return can be explained by the value of the firm being underestimated changing to normal-estimated. Thus, I assume that firms with pledged shares earn abnormal return more than firms without pledged shares. In other words, the revenue made by share pledging must be higher than the cost of pledging share. The biggest cost of pledging share is lost</w:t>
      </w:r>
      <w:r w:rsidR="00001CE9">
        <w:t xml:space="preserve"> by</w:t>
      </w:r>
      <w:r>
        <w:t xml:space="preserve"> the ownership of company because stock price will go down to approach the warning line. To avoiding losing right of management, shareholders will be more involve</w:t>
      </w:r>
      <w:r w:rsidR="00001CE9">
        <w:t>d</w:t>
      </w:r>
      <w:r>
        <w:t xml:space="preserve"> into the company operation. In most cases, the large shareholder owns stock and other forms of assets. They even own stocks of two or three listed companies. Thus, the large shareholder can make an investment to a company using his money, even though, the large shareholder could promote enterprise mergers and acquisitions to strengthen enterprises. I conclude that it is more likely to get an abnormal return by pledged share than non-pledged share. </w:t>
      </w:r>
    </w:p>
    <w:p w:rsidR="00B53961" w:rsidRDefault="00B53961" w:rsidP="00B53961">
      <w:pPr>
        <w:spacing w:line="480" w:lineRule="auto"/>
        <w:outlineLvl w:val="0"/>
      </w:pPr>
    </w:p>
    <w:p w:rsidR="00B53961" w:rsidRDefault="00B53961" w:rsidP="00B53961">
      <w:pPr>
        <w:spacing w:line="480" w:lineRule="auto"/>
        <w:outlineLvl w:val="0"/>
      </w:pPr>
      <w:r>
        <w:t xml:space="preserve">    Signaling is the idea that one party credibly conveys some information about itself to another party. Pledging share is a signal to investors because that is the way to let investors know that firms with pledged shares can make the most abnormal return. Therefore, share pledging is a positive signal because it shows pledged share companies have more potential, and they are better</w:t>
      </w:r>
      <w:r w:rsidR="00001CE9">
        <w:t xml:space="preserve">-investing objects. China has </w:t>
      </w:r>
      <w:r>
        <w:t xml:space="preserve">weak institutions. Specifically, the capital market is new. </w:t>
      </w:r>
      <w:r>
        <w:lastRenderedPageBreak/>
        <w:t>Some firm might not reveal true information, and government cannot police this deceptive behavior. Thus, an owner who knows his firm has good potential to raise profits wants to send a signal to in</w:t>
      </w:r>
      <w:r w:rsidR="00001CE9">
        <w:t>vestors. Posting announcements</w:t>
      </w:r>
      <w:r>
        <w:t xml:space="preserve"> declaring its potential is not enough to raise capital because investors will not believe it. It is also a consequence of weak institution</w:t>
      </w:r>
      <w:r w:rsidR="00001CE9">
        <w:t>s</w:t>
      </w:r>
      <w:r>
        <w:t xml:space="preserve">. Under this situation, owners pledge their shares. If this behavior is happening, we should see the </w:t>
      </w:r>
      <w:r w:rsidR="001306DF">
        <w:t>ABNORMAL RETURN</w:t>
      </w:r>
      <w:r>
        <w:t xml:space="preserve">s is bigger than zero for firms with pledged shares. </w:t>
      </w:r>
    </w:p>
    <w:p w:rsidR="00B53961" w:rsidRDefault="00B53961" w:rsidP="00B53961">
      <w:pPr>
        <w:spacing w:line="480" w:lineRule="auto"/>
        <w:outlineLvl w:val="0"/>
      </w:pPr>
    </w:p>
    <w:p w:rsidR="00B53961" w:rsidRDefault="00B53961" w:rsidP="00B53961">
      <w:pPr>
        <w:spacing w:line="480" w:lineRule="auto"/>
        <w:ind w:firstLine="420"/>
        <w:outlineLvl w:val="0"/>
      </w:pPr>
      <w:r>
        <w:t>Share pledging should work for all kinds of firms because, once shareholders were pledging their shares, they have to try their best to increase their stock price. If the stock price goes down and reaches the warning line, they will not be able to repurchase their shares anymore. In most cases, shareholders</w:t>
      </w:r>
      <w:r w:rsidR="00001CE9">
        <w:t xml:space="preserve"> use pledged share to invest which includes</w:t>
      </w:r>
      <w:r>
        <w:t xml:space="preserve"> the controlling cost and changing strategies. Each of those ways brings positive signals for the investors.</w:t>
      </w:r>
    </w:p>
    <w:p w:rsidR="00B53961" w:rsidRDefault="00B53961" w:rsidP="00B53961">
      <w:pPr>
        <w:spacing w:line="480" w:lineRule="auto"/>
        <w:outlineLvl w:val="0"/>
      </w:pPr>
    </w:p>
    <w:p w:rsidR="006B2A43" w:rsidRDefault="00B53961" w:rsidP="00B53961">
      <w:pPr>
        <w:spacing w:line="480" w:lineRule="auto"/>
        <w:ind w:firstLine="420"/>
        <w:outlineLvl w:val="0"/>
      </w:pPr>
      <w:r>
        <w:t xml:space="preserve">I decide my period of analysis between May 2013 to </w:t>
      </w:r>
      <w:r w:rsidR="006B2A43">
        <w:t>Oct</w:t>
      </w:r>
      <w:r>
        <w:t xml:space="preserve"> 2015 because of two reasons: (1) CSRC (China Securities Regulatory Commission) implement pledge-share policy on June 2013; </w:t>
      </w:r>
      <w:r w:rsidR="00BB649B">
        <w:t>(2</w:t>
      </w:r>
      <w:r>
        <w:t xml:space="preserve">) There are both </w:t>
      </w:r>
      <w:r w:rsidR="00686A62">
        <w:t>Ascend</w:t>
      </w:r>
      <w:r>
        <w:t xml:space="preserve"> market and </w:t>
      </w:r>
      <w:r w:rsidR="00686A62">
        <w:t>decline</w:t>
      </w:r>
      <w:r>
        <w:t xml:space="preserve"> market during 2013-2015(June 2013 - April 2015 (</w:t>
      </w:r>
      <w:r w:rsidR="00AA3190">
        <w:t>Bull</w:t>
      </w:r>
      <w:r w:rsidR="001306DF">
        <w:t xml:space="preserve"> </w:t>
      </w:r>
      <w:r>
        <w:t>Market) and April 2015 - Oct 2015 (</w:t>
      </w:r>
      <w:r w:rsidR="00AA3190">
        <w:t>Bear</w:t>
      </w:r>
      <w:r>
        <w:t xml:space="preserve"> Market) ).</w:t>
      </w:r>
      <w:r w:rsidR="006B2A43">
        <w:t xml:space="preserve"> </w:t>
      </w:r>
    </w:p>
    <w:p w:rsidR="006B2A43" w:rsidRDefault="006B2A43" w:rsidP="00B53961">
      <w:pPr>
        <w:spacing w:line="480" w:lineRule="auto"/>
        <w:ind w:firstLine="420"/>
        <w:outlineLvl w:val="0"/>
      </w:pPr>
    </w:p>
    <w:p w:rsidR="00820A66" w:rsidRPr="002C7B93" w:rsidRDefault="00763614" w:rsidP="00B53961">
      <w:pPr>
        <w:spacing w:line="480" w:lineRule="auto"/>
        <w:ind w:firstLine="420"/>
        <w:outlineLvl w:val="0"/>
        <w:rPr>
          <w:rFonts w:eastAsiaTheme="minorEastAsia"/>
          <w:lang w:eastAsia="zh-CN"/>
        </w:rPr>
      </w:pPr>
      <w:r w:rsidRPr="00763614">
        <w:t xml:space="preserve"> </w:t>
      </w:r>
      <w:r>
        <w:t xml:space="preserve">I will use </w:t>
      </w:r>
      <w:r w:rsidR="000F6444">
        <w:t>quarterly data</w:t>
      </w:r>
      <w:r>
        <w:t xml:space="preserve"> to analyze instead of using the price change over a year because firms will publish the quarter report every three months. The effect of pledging shares and stockholders’ involvement into management can be shown in the quarter report.</w:t>
      </w:r>
    </w:p>
    <w:p w:rsidR="00DA07CA" w:rsidRPr="002C7B93" w:rsidRDefault="00DA07CA" w:rsidP="00835DC8">
      <w:pPr>
        <w:outlineLvl w:val="0"/>
        <w:rPr>
          <w:b/>
        </w:rPr>
      </w:pPr>
    </w:p>
    <w:p w:rsidR="00E9107D" w:rsidRDefault="00E9107D" w:rsidP="00C11AB8">
      <w:pPr>
        <w:pStyle w:val="Default"/>
        <w:spacing w:line="480" w:lineRule="auto"/>
        <w:rPr>
          <w:bCs/>
          <w:i/>
        </w:rPr>
      </w:pPr>
    </w:p>
    <w:p w:rsidR="000D1A75" w:rsidRPr="00FA55B5" w:rsidRDefault="000D1A75" w:rsidP="00FA55B5">
      <w:pPr>
        <w:spacing w:line="480" w:lineRule="auto"/>
        <w:outlineLvl w:val="0"/>
        <w:rPr>
          <w:b/>
        </w:rPr>
      </w:pPr>
      <w:r w:rsidRPr="00FA55B5">
        <w:rPr>
          <w:b/>
        </w:rPr>
        <w:t xml:space="preserve">HYPOTHESIS: </w:t>
      </w:r>
    </w:p>
    <w:p w:rsidR="00AA3190" w:rsidRPr="00A9522D" w:rsidRDefault="00AA3190" w:rsidP="00AA3190">
      <w:pPr>
        <w:pStyle w:val="Default"/>
        <w:spacing w:line="480" w:lineRule="auto"/>
        <w:ind w:firstLine="420"/>
        <w:rPr>
          <w:bCs/>
        </w:rPr>
      </w:pPr>
      <w:r w:rsidRPr="00A9522D">
        <w:rPr>
          <w:bCs/>
        </w:rPr>
        <w:lastRenderedPageBreak/>
        <w:t xml:space="preserve">The hypothesis </w:t>
      </w:r>
      <w:r w:rsidRPr="00675D23">
        <w:rPr>
          <w:bCs/>
          <w:noProof/>
        </w:rPr>
        <w:t>am</w:t>
      </w:r>
      <w:r w:rsidRPr="00A9522D">
        <w:rPr>
          <w:bCs/>
        </w:rPr>
        <w:t xml:space="preserve"> going to </w:t>
      </w:r>
      <w:r w:rsidRPr="00675D23">
        <w:rPr>
          <w:bCs/>
          <w:noProof/>
        </w:rPr>
        <w:t>use is</w:t>
      </w:r>
      <w:r w:rsidRPr="00A9522D">
        <w:rPr>
          <w:bCs/>
        </w:rPr>
        <w:t xml:space="preserve"> </w:t>
      </w:r>
      <w:r w:rsidRPr="00675D23">
        <w:rPr>
          <w:bCs/>
          <w:noProof/>
        </w:rPr>
        <w:t>that companies</w:t>
      </w:r>
      <w:r w:rsidRPr="00A9522D">
        <w:rPr>
          <w:bCs/>
        </w:rPr>
        <w:t xml:space="preserve"> that </w:t>
      </w:r>
      <w:r w:rsidRPr="00675D23">
        <w:rPr>
          <w:bCs/>
          <w:noProof/>
        </w:rPr>
        <w:t>pledge</w:t>
      </w:r>
      <w:r w:rsidRPr="00A9522D">
        <w:rPr>
          <w:bCs/>
        </w:rPr>
        <w:t xml:space="preserve"> their shares so as to acquire </w:t>
      </w:r>
      <w:r w:rsidRPr="00675D23">
        <w:rPr>
          <w:bCs/>
          <w:noProof/>
        </w:rPr>
        <w:t>a more investment opportunities</w:t>
      </w:r>
      <w:r w:rsidRPr="00A9522D">
        <w:rPr>
          <w:bCs/>
        </w:rPr>
        <w:t xml:space="preserve"> end up having more returns than those that do not pledge their shares. My research also showcases that owners who accumulate money through a high rate of share pledges register more ex-post share return when compared to owners whose pledging </w:t>
      </w:r>
      <w:r w:rsidRPr="00675D23">
        <w:rPr>
          <w:bCs/>
          <w:noProof/>
        </w:rPr>
        <w:t>ration</w:t>
      </w:r>
      <w:r w:rsidRPr="00A9522D">
        <w:rPr>
          <w:bCs/>
        </w:rPr>
        <w:t xml:space="preserve"> is way too </w:t>
      </w:r>
      <w:r w:rsidRPr="00675D23">
        <w:rPr>
          <w:bCs/>
          <w:noProof/>
        </w:rPr>
        <w:t>low</w:t>
      </w:r>
      <w:r w:rsidRPr="00A9522D">
        <w:rPr>
          <w:bCs/>
        </w:rPr>
        <w:t xml:space="preserve">. The hypothesis I have mentioned will thus be established using OLS regression method. </w:t>
      </w:r>
    </w:p>
    <w:p w:rsidR="00F47331" w:rsidRPr="00AA3190" w:rsidRDefault="00F47331" w:rsidP="00353B66">
      <w:pPr>
        <w:spacing w:line="480" w:lineRule="auto"/>
        <w:outlineLvl w:val="0"/>
        <w:rPr>
          <w:rFonts w:eastAsiaTheme="minorEastAsia"/>
          <w:b/>
          <w:lang w:eastAsia="zh-CN"/>
        </w:rPr>
      </w:pPr>
    </w:p>
    <w:p w:rsidR="009A6C90" w:rsidRPr="00AA3190" w:rsidRDefault="00CD25D0" w:rsidP="00AA3190">
      <w:pPr>
        <w:spacing w:line="480" w:lineRule="auto"/>
      </w:pPr>
      <w:r w:rsidRPr="00AA3190">
        <w:rPr>
          <w:b/>
        </w:rPr>
        <w:t>ECONOMETRIC METHODOLOGY:</w:t>
      </w:r>
    </w:p>
    <w:p w:rsidR="00AA3190" w:rsidRPr="00AA3190" w:rsidRDefault="00AA3190" w:rsidP="00AA3190">
      <w:pPr>
        <w:spacing w:line="480" w:lineRule="auto"/>
        <w:ind w:firstLine="420"/>
      </w:pPr>
      <w:r w:rsidRPr="00AA3190">
        <w:t xml:space="preserve">As mentioned above, I will be looking at the correlation between the rate of share pledging of a company and the abnormal return registered. The OLS model will be paramount in the determination of the cause and effect relationship between these two concepts. Using this model, it is very easy to test the credibility </w:t>
      </w:r>
      <w:r w:rsidR="00FA55B5">
        <w:t>of the hypothesis stated above.</w:t>
      </w:r>
      <w:r w:rsidRPr="00AA3190">
        <w:t xml:space="preserve"> I can test my hypotheses; the higher the rate of pledging shares, the more the abnormal return. Model 1 has the dependent variable Abnormal Return, independent variable, Pledging Ratio. I have control variables, Ln Asset Size, Return on Equity, Gross Return, Debt and Ownership, because they are major factors that reflect a company’s operation capability. Market Return is measured by SSE index (Shanghai Stock Exchange Index) which is a powerful way to help me control the unobservable factors such as the change of crude oil price, change of gold price, bulk commodity, and government policy. It is similar with DJI (Dow Jones Index) which is used to observe the market environment. In the deeper analysis, </w:t>
      </w:r>
    </w:p>
    <w:p w:rsidR="00AA3190" w:rsidRPr="00AA3190" w:rsidRDefault="00AA3190" w:rsidP="00AA3190">
      <w:pPr>
        <w:spacing w:line="480" w:lineRule="auto"/>
        <w:ind w:firstLine="420"/>
      </w:pPr>
      <w:r w:rsidRPr="00AA3190">
        <w:t xml:space="preserve">ABNORMAL RETURNs = Actual Return - Market Return. </w:t>
      </w:r>
    </w:p>
    <w:p w:rsidR="00AA3190" w:rsidRPr="00AA3190" w:rsidRDefault="00AA3190" w:rsidP="00AA3190">
      <w:pPr>
        <w:spacing w:line="480" w:lineRule="auto"/>
        <w:ind w:firstLine="420"/>
      </w:pPr>
      <w:r w:rsidRPr="00AA3190">
        <w:t xml:space="preserve">SSE Index = Current total market cap of constituents × Base Value / Base Period. </w:t>
      </w:r>
    </w:p>
    <w:p w:rsidR="00AA3190" w:rsidRDefault="00AA3190" w:rsidP="00AA3190">
      <w:pPr>
        <w:spacing w:line="480" w:lineRule="auto"/>
        <w:ind w:firstLine="420"/>
      </w:pPr>
      <w:r w:rsidRPr="00AA3190">
        <w:lastRenderedPageBreak/>
        <w:t>SSE Index helps me control factors such as change of crude oil price, change of gold price, bulk commodity, and government policy.</w:t>
      </w:r>
    </w:p>
    <w:p w:rsidR="004842CB" w:rsidRPr="00AA3190" w:rsidRDefault="004842CB" w:rsidP="00AA3190">
      <w:pPr>
        <w:spacing w:line="480" w:lineRule="auto"/>
        <w:ind w:firstLine="420"/>
      </w:pPr>
      <w:r w:rsidRPr="00D111F9">
        <w:rPr>
          <w:position w:val="-196"/>
        </w:rPr>
        <w:object w:dxaOrig="7900" w:dyaOrig="3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3in" o:ole="">
            <v:imagedata r:id="rId8" o:title=""/>
          </v:shape>
          <o:OLEObject Type="Embed" ProgID="Equation.DSMT4" ShapeID="_x0000_i1025" DrawAspect="Content" ObjectID="_1522786141" r:id="rId9"/>
        </w:object>
      </w:r>
    </w:p>
    <w:p w:rsidR="00AA3190" w:rsidRPr="00AA3190" w:rsidRDefault="000F6444" w:rsidP="00AA3190">
      <w:pPr>
        <w:spacing w:line="480" w:lineRule="auto"/>
        <w:ind w:firstLine="420"/>
      </w:pPr>
      <w:r>
        <w:t>T</w:t>
      </w:r>
      <w:r w:rsidR="00FA55B5">
        <w:t>he OLS regression model</w:t>
      </w:r>
      <w:r w:rsidR="00AA3190" w:rsidRPr="00AA3190">
        <w:t xml:space="preserve"> estimate</w:t>
      </w:r>
      <w:r w:rsidR="00FA55B5">
        <w:t>s</w:t>
      </w:r>
      <w:r w:rsidR="00AA3190" w:rsidRPr="00AA3190">
        <w:t xml:space="preserve"> the effect of pledging shares on abnormal return. The pledged shares ratio in this case is bounded between 0 and 1, and it is 0 when the firm’s shareholder does not pledge share. My research examines how the rate of share pledging leads to more abnormal return. </w:t>
      </w:r>
    </w:p>
    <w:p w:rsidR="00AA3190" w:rsidRPr="00AA3190" w:rsidRDefault="00AA3190" w:rsidP="00AA3190">
      <w:pPr>
        <w:spacing w:line="480" w:lineRule="auto"/>
        <w:ind w:firstLine="420"/>
      </w:pPr>
      <w:r w:rsidRPr="00AA3190">
        <w:t>I thus kept the influence of pledging over a year because it takes 4-5 quarters to process. After shareholders get money from banks, they need to make new strategies, become more involved in management, and make firms more profitable. Because of this, it will take a year to reflect into stock prices. I can use industry and time fixed effect or opt to use the firm and time fixed effect. In addition to this, I will compare the stock price for each interval using time as the horizontal axis, so that I can find out the change of stock price over time. If a firm re-pledges shares, I will consider the second pledge as an independent observation.</w:t>
      </w:r>
    </w:p>
    <w:p w:rsidR="00AA3190" w:rsidRPr="00AA3190" w:rsidRDefault="00AA3190" w:rsidP="00AA3190">
      <w:pPr>
        <w:spacing w:line="480" w:lineRule="auto"/>
        <w:ind w:firstLine="420"/>
        <w:rPr>
          <w:rFonts w:eastAsia="宋体"/>
          <w:b/>
          <w:lang w:eastAsia="zh-CN"/>
        </w:rPr>
      </w:pPr>
      <w:r w:rsidRPr="00AA3190">
        <w:lastRenderedPageBreak/>
        <w:t>In summary, I plan to test my hypotheses with OLS regression. Observations include firms both with pledged shares and non-pledged firms. The coefficient of pledge ratio should be positive.</w:t>
      </w:r>
    </w:p>
    <w:p w:rsidR="000D1A75" w:rsidRPr="00AA3190" w:rsidRDefault="00CE6EA9" w:rsidP="00AA3190">
      <w:pPr>
        <w:spacing w:line="480" w:lineRule="auto"/>
        <w:rPr>
          <w:b/>
        </w:rPr>
      </w:pPr>
      <w:r w:rsidRPr="00AA3190">
        <w:rPr>
          <w:b/>
        </w:rPr>
        <w:t xml:space="preserve">DATA AND </w:t>
      </w:r>
      <w:r w:rsidR="00113A4E" w:rsidRPr="00AA3190">
        <w:rPr>
          <w:b/>
        </w:rPr>
        <w:t>EVIDENCE</w:t>
      </w:r>
      <w:r w:rsidR="000D1A75" w:rsidRPr="00AA3190">
        <w:rPr>
          <w:b/>
        </w:rPr>
        <w:t xml:space="preserve"> </w:t>
      </w:r>
    </w:p>
    <w:p w:rsidR="00934423" w:rsidRDefault="00E51668" w:rsidP="00E51668">
      <w:pPr>
        <w:spacing w:line="480" w:lineRule="auto"/>
        <w:ind w:firstLine="420"/>
      </w:pPr>
      <w:r w:rsidRPr="00E51668">
        <w:t>My dataset is panel. The related information and data were founded from the stock-trade software</w:t>
      </w:r>
      <w:r w:rsidR="000A237B">
        <w:t xml:space="preserve"> and </w:t>
      </w:r>
      <w:r w:rsidRPr="00E51668">
        <w:t>the Wind Consultation Website. My sample has 973 share pledges firms out of 2494 listed companies in total. I marked them by true/false based on whether their shareholders pledge stocks or not</w:t>
      </w:r>
      <w:r w:rsidR="000A237B">
        <w:t>.</w:t>
      </w:r>
      <w:r w:rsidR="00F863F5">
        <w:t xml:space="preserve"> I have data for all firms with pledged share. Some firms pledge shares more than once, and I already included the repeat pledging</w:t>
      </w:r>
      <w:r w:rsidR="000A237B">
        <w:t xml:space="preserve">. In that case, it will </w:t>
      </w:r>
      <w:r w:rsidR="000237F1">
        <w:t>be reg</w:t>
      </w:r>
      <w:r w:rsidR="000A237B">
        <w:t>a</w:t>
      </w:r>
      <w:r w:rsidR="000237F1">
        <w:t>r</w:t>
      </w:r>
      <w:r w:rsidR="000A237B">
        <w:t>d</w:t>
      </w:r>
      <w:r w:rsidR="000237F1">
        <w:t>ed</w:t>
      </w:r>
      <w:r w:rsidR="000A237B">
        <w:t xml:space="preserve"> as different observations</w:t>
      </w:r>
      <w:r w:rsidR="000237F1">
        <w:t>.</w:t>
      </w:r>
    </w:p>
    <w:p w:rsidR="000237F1" w:rsidRDefault="000237F1" w:rsidP="00E51668">
      <w:pPr>
        <w:spacing w:line="480" w:lineRule="auto"/>
        <w:ind w:firstLine="420"/>
        <w:rPr>
          <w:rFonts w:eastAsiaTheme="minorEastAsia"/>
          <w:lang w:eastAsia="zh-CN"/>
        </w:rPr>
      </w:pPr>
      <w:r w:rsidRPr="000237F1">
        <w:rPr>
          <w:rFonts w:eastAsiaTheme="minorEastAsia"/>
          <w:lang w:eastAsia="zh-CN"/>
        </w:rPr>
        <w:t>I collect data quarterly because I can check firms operation by quarterly report</w:t>
      </w:r>
      <w:r>
        <w:rPr>
          <w:rFonts w:eastAsiaTheme="minorEastAsia"/>
          <w:lang w:eastAsia="zh-CN"/>
        </w:rPr>
        <w:t>s</w:t>
      </w:r>
      <w:r w:rsidRPr="000237F1">
        <w:rPr>
          <w:rFonts w:eastAsiaTheme="minorEastAsia"/>
          <w:lang w:eastAsia="zh-CN"/>
        </w:rPr>
        <w:t xml:space="preserve">. Thus, I </w:t>
      </w:r>
      <w:r>
        <w:rPr>
          <w:rFonts w:eastAsiaTheme="minorEastAsia"/>
          <w:lang w:eastAsia="zh-CN"/>
        </w:rPr>
        <w:t>collect data at</w:t>
      </w:r>
      <w:r w:rsidRPr="000237F1">
        <w:rPr>
          <w:rFonts w:eastAsiaTheme="minorEastAsia"/>
          <w:lang w:eastAsia="zh-CN"/>
        </w:rPr>
        <w:t xml:space="preserve"> ten</w:t>
      </w:r>
      <w:r>
        <w:rPr>
          <w:rFonts w:eastAsiaTheme="minorEastAsia"/>
          <w:lang w:eastAsia="zh-CN"/>
        </w:rPr>
        <w:t xml:space="preserve"> different</w:t>
      </w:r>
      <w:r w:rsidRPr="000237F1">
        <w:rPr>
          <w:rFonts w:eastAsiaTheme="minorEastAsia"/>
          <w:lang w:eastAsia="zh-CN"/>
        </w:rPr>
        <w:t xml:space="preserve"> dates</w:t>
      </w:r>
      <w:r>
        <w:rPr>
          <w:rFonts w:eastAsiaTheme="minorEastAsia"/>
          <w:lang w:eastAsia="zh-CN"/>
        </w:rPr>
        <w:t>,</w:t>
      </w:r>
      <w:r w:rsidRPr="000237F1">
        <w:rPr>
          <w:rFonts w:eastAsiaTheme="minorEastAsia"/>
          <w:lang w:eastAsia="zh-CN"/>
        </w:rPr>
        <w:t xml:space="preserve"> which are Oct 8 2013, Jan 2 2014, April 1 2014, July 1 2014, Oct 8 2014, Jan 5 2015, April 1 2015, July 1 2015, Oct 8 2015, </w:t>
      </w:r>
      <w:proofErr w:type="gramStart"/>
      <w:r w:rsidRPr="000237F1">
        <w:rPr>
          <w:rFonts w:eastAsiaTheme="minorEastAsia"/>
          <w:lang w:eastAsia="zh-CN"/>
        </w:rPr>
        <w:t>Jan</w:t>
      </w:r>
      <w:proofErr w:type="gramEnd"/>
      <w:r w:rsidRPr="000237F1">
        <w:rPr>
          <w:rFonts w:eastAsiaTheme="minorEastAsia"/>
          <w:lang w:eastAsia="zh-CN"/>
        </w:rPr>
        <w:t xml:space="preserve"> 4 2016. In another words, I have nine time intervals accounted as quarterly data.</w:t>
      </w:r>
    </w:p>
    <w:p w:rsidR="00EA2775" w:rsidRPr="00CE6CB5" w:rsidRDefault="00EA2775" w:rsidP="00E51668">
      <w:pPr>
        <w:spacing w:line="480" w:lineRule="auto"/>
        <w:ind w:firstLine="420"/>
        <w:rPr>
          <w:rFonts w:eastAsiaTheme="minorEastAsia"/>
          <w:color w:val="000000" w:themeColor="text1"/>
          <w:lang w:eastAsia="zh-CN"/>
        </w:rPr>
      </w:pPr>
      <w:r w:rsidRPr="00CE6CB5">
        <w:rPr>
          <w:rFonts w:eastAsiaTheme="minorEastAsia"/>
          <w:color w:val="000000" w:themeColor="text1"/>
          <w:lang w:eastAsia="zh-CN"/>
        </w:rPr>
        <w:t>Considering of the endogeneity problem, I crea</w:t>
      </w:r>
      <w:r w:rsidR="00E93377" w:rsidRPr="00CE6CB5">
        <w:rPr>
          <w:rFonts w:eastAsiaTheme="minorEastAsia"/>
          <w:color w:val="000000" w:themeColor="text1"/>
          <w:lang w:eastAsia="zh-CN"/>
        </w:rPr>
        <w:t>te lagged variables because the i</w:t>
      </w:r>
      <w:r w:rsidR="00E93377" w:rsidRPr="00CE6CB5">
        <w:rPr>
          <w:rFonts w:eastAsiaTheme="minorEastAsia" w:hint="eastAsia"/>
          <w:color w:val="000000" w:themeColor="text1"/>
          <w:lang w:eastAsia="zh-CN"/>
        </w:rPr>
        <w:t>ndustry</w:t>
      </w:r>
      <w:r w:rsidR="00E93377" w:rsidRPr="00CE6CB5">
        <w:rPr>
          <w:rFonts w:eastAsiaTheme="minorEastAsia"/>
          <w:color w:val="000000" w:themeColor="text1"/>
          <w:lang w:eastAsia="zh-CN"/>
        </w:rPr>
        <w:t xml:space="preserve"> abnormal return</w:t>
      </w:r>
      <w:r w:rsidRPr="00CE6CB5">
        <w:rPr>
          <w:rFonts w:eastAsiaTheme="minorEastAsia"/>
          <w:color w:val="000000" w:themeColor="text1"/>
          <w:lang w:eastAsia="zh-CN"/>
        </w:rPr>
        <w:t xml:space="preserve">, market value and </w:t>
      </w:r>
      <w:r w:rsidR="00E93377" w:rsidRPr="00CE6CB5">
        <w:rPr>
          <w:rFonts w:eastAsiaTheme="minorEastAsia"/>
          <w:color w:val="000000" w:themeColor="text1"/>
          <w:lang w:eastAsia="zh-CN"/>
        </w:rPr>
        <w:t>difference of abnormal return effect to each other, which will make OLS result highly significant.</w:t>
      </w:r>
    </w:p>
    <w:p w:rsidR="00664736" w:rsidRPr="0056120A" w:rsidRDefault="00664736" w:rsidP="00E51668">
      <w:pPr>
        <w:spacing w:line="480" w:lineRule="auto"/>
        <w:ind w:firstLine="420"/>
        <w:rPr>
          <w:rFonts w:eastAsiaTheme="minorEastAsia"/>
          <w:color w:val="000000" w:themeColor="text1"/>
          <w:lang w:eastAsia="zh-CN"/>
        </w:rPr>
      </w:pPr>
      <w:r>
        <w:rPr>
          <w:rFonts w:eastAsiaTheme="minorEastAsia"/>
          <w:lang w:eastAsia="zh-CN"/>
        </w:rPr>
        <w:t>Table.</w:t>
      </w:r>
      <w:r w:rsidR="00FA55B5">
        <w:rPr>
          <w:rFonts w:eastAsiaTheme="minorEastAsia"/>
          <w:lang w:eastAsia="zh-CN"/>
        </w:rPr>
        <w:t>3</w:t>
      </w:r>
      <w:r>
        <w:rPr>
          <w:rFonts w:eastAsiaTheme="minorEastAsia"/>
          <w:lang w:eastAsia="zh-CN"/>
        </w:rPr>
        <w:t xml:space="preserve"> reports statistic summary for data.</w:t>
      </w:r>
      <w:r w:rsidR="00464283">
        <w:rPr>
          <w:rFonts w:eastAsiaTheme="minorEastAsia"/>
          <w:lang w:eastAsia="zh-CN"/>
        </w:rPr>
        <w:t xml:space="preserve"> There are</w:t>
      </w:r>
      <w:r w:rsidR="0061495C">
        <w:rPr>
          <w:rFonts w:eastAsiaTheme="minorEastAsia"/>
          <w:lang w:eastAsia="zh-CN"/>
        </w:rPr>
        <w:t xml:space="preserve"> </w:t>
      </w:r>
      <w:r w:rsidR="00464283">
        <w:rPr>
          <w:rFonts w:eastAsiaTheme="minorEastAsia"/>
          <w:lang w:eastAsia="zh-CN"/>
        </w:rPr>
        <w:t>5490</w:t>
      </w:r>
      <w:r w:rsidR="0061495C">
        <w:rPr>
          <w:rFonts w:eastAsiaTheme="minorEastAsia"/>
          <w:lang w:eastAsia="zh-CN"/>
        </w:rPr>
        <w:t xml:space="preserve"> out of 25290 pledge</w:t>
      </w:r>
      <w:r w:rsidR="00464283">
        <w:rPr>
          <w:rFonts w:eastAsiaTheme="minorEastAsia"/>
          <w:lang w:eastAsia="zh-CN"/>
        </w:rPr>
        <w:t>d firms</w:t>
      </w:r>
      <w:r w:rsidR="0061495C">
        <w:rPr>
          <w:rFonts w:eastAsiaTheme="minorEastAsia"/>
          <w:lang w:eastAsia="zh-CN"/>
        </w:rPr>
        <w:t xml:space="preserve">. </w:t>
      </w:r>
      <w:r w:rsidR="00464283">
        <w:rPr>
          <w:rFonts w:eastAsiaTheme="minorEastAsia"/>
          <w:lang w:eastAsia="zh-CN"/>
        </w:rPr>
        <w:t>Because I</w:t>
      </w:r>
      <w:r w:rsidR="00464283">
        <w:rPr>
          <w:rFonts w:eastAsiaTheme="minorEastAsia" w:hint="eastAsia"/>
          <w:lang w:eastAsia="zh-CN"/>
        </w:rPr>
        <w:t xml:space="preserve"> get the qua</w:t>
      </w:r>
      <w:r w:rsidR="00464283">
        <w:rPr>
          <w:rFonts w:eastAsiaTheme="minorEastAsia"/>
          <w:lang w:eastAsia="zh-CN"/>
        </w:rPr>
        <w:t>rterly data and the effect of pledging will be over a year, I will consider a firm with pledged shares for four quarters. During this time, if the shareholder pledge shares again, it will be counted as another observation and the pledge effect w</w:t>
      </w:r>
      <w:r w:rsidR="00447C41">
        <w:rPr>
          <w:rFonts w:eastAsiaTheme="minorEastAsia"/>
          <w:lang w:eastAsia="zh-CN"/>
        </w:rPr>
        <w:t>ill be over last three quarters</w:t>
      </w:r>
      <w:r w:rsidR="00464283">
        <w:rPr>
          <w:rFonts w:eastAsiaTheme="minorEastAsia"/>
          <w:lang w:eastAsia="zh-CN"/>
        </w:rPr>
        <w:t xml:space="preserve">. </w:t>
      </w:r>
      <w:r w:rsidR="0061495C">
        <w:rPr>
          <w:rFonts w:eastAsiaTheme="minorEastAsia"/>
          <w:lang w:eastAsia="zh-CN"/>
        </w:rPr>
        <w:t xml:space="preserve">The mean average ratio </w:t>
      </w:r>
      <w:r w:rsidR="00464283">
        <w:rPr>
          <w:rFonts w:eastAsiaTheme="minorEastAsia"/>
          <w:lang w:eastAsia="zh-CN"/>
        </w:rPr>
        <w:t>is</w:t>
      </w:r>
      <w:r w:rsidR="00447C41">
        <w:rPr>
          <w:rFonts w:eastAsiaTheme="minorEastAsia"/>
          <w:lang w:eastAsia="zh-CN"/>
        </w:rPr>
        <w:t xml:space="preserve"> 0.3</w:t>
      </w:r>
      <w:r w:rsidR="00850B75">
        <w:rPr>
          <w:rFonts w:eastAsiaTheme="minorEastAsia"/>
          <w:lang w:eastAsia="zh-CN"/>
        </w:rPr>
        <w:t>15</w:t>
      </w:r>
      <w:r w:rsidR="00447C41">
        <w:rPr>
          <w:rFonts w:eastAsiaTheme="minorEastAsia"/>
          <w:lang w:eastAsia="zh-CN"/>
        </w:rPr>
        <w:t>8</w:t>
      </w:r>
      <w:r w:rsidR="00850B75">
        <w:rPr>
          <w:rFonts w:eastAsiaTheme="minorEastAsia"/>
          <w:lang w:eastAsia="zh-CN"/>
        </w:rPr>
        <w:t>9</w:t>
      </w:r>
      <w:r w:rsidR="00447C41">
        <w:rPr>
          <w:rFonts w:eastAsiaTheme="minorEastAsia"/>
          <w:lang w:eastAsia="zh-CN"/>
        </w:rPr>
        <w:t xml:space="preserve"> and mean market value is </w:t>
      </w:r>
      <w:r w:rsidR="0056120A">
        <w:rPr>
          <w:rFonts w:eastAsiaTheme="minorEastAsia"/>
          <w:lang w:eastAsia="zh-CN"/>
        </w:rPr>
        <w:t>7800.5(million Yuan)</w:t>
      </w:r>
      <w:r w:rsidR="004A210B">
        <w:rPr>
          <w:rFonts w:eastAsiaTheme="minorEastAsia"/>
          <w:color w:val="FF0000"/>
          <w:lang w:eastAsia="zh-CN"/>
        </w:rPr>
        <w:t>.</w:t>
      </w:r>
      <w:r w:rsidR="0056120A">
        <w:rPr>
          <w:rFonts w:eastAsiaTheme="minorEastAsia"/>
          <w:color w:val="FF0000"/>
          <w:lang w:eastAsia="zh-CN"/>
        </w:rPr>
        <w:t xml:space="preserve"> </w:t>
      </w:r>
      <w:r w:rsidR="0056120A">
        <w:rPr>
          <w:rFonts w:eastAsiaTheme="minorEastAsia"/>
          <w:color w:val="000000" w:themeColor="text1"/>
          <w:lang w:eastAsia="zh-CN"/>
        </w:rPr>
        <w:t xml:space="preserve">It is a huge amount of money involved in the pledge shares. The mean of return on equity and </w:t>
      </w:r>
      <w:r w:rsidR="0056120A">
        <w:rPr>
          <w:rFonts w:eastAsiaTheme="minorEastAsia"/>
          <w:color w:val="000000" w:themeColor="text1"/>
          <w:lang w:eastAsia="zh-CN"/>
        </w:rPr>
        <w:lastRenderedPageBreak/>
        <w:t>mean of gross return is 0.03679 and 3.2535(Billion Yuan), so those firms who pledged shares have great capabilities of gain return</w:t>
      </w:r>
      <w:r w:rsidR="009A4F8F">
        <w:rPr>
          <w:rFonts w:eastAsiaTheme="minorEastAsia"/>
          <w:color w:val="000000" w:themeColor="text1"/>
          <w:lang w:eastAsia="zh-CN"/>
        </w:rPr>
        <w:t>. On the other side, it supports my hypothesis that share pledging causes more abnormal return.</w:t>
      </w:r>
    </w:p>
    <w:p w:rsidR="00934423" w:rsidRPr="00934423" w:rsidRDefault="00934423" w:rsidP="00934423">
      <w:pPr>
        <w:spacing w:line="480" w:lineRule="auto"/>
        <w:rPr>
          <w:rFonts w:eastAsiaTheme="minorEastAsia"/>
          <w:lang w:eastAsia="zh-CN"/>
        </w:rPr>
      </w:pPr>
    </w:p>
    <w:p w:rsidR="00A36EC6" w:rsidRPr="00D44D9F" w:rsidRDefault="00D44D9F" w:rsidP="00D44D9F">
      <w:pPr>
        <w:spacing w:line="480" w:lineRule="auto"/>
        <w:rPr>
          <w:b/>
        </w:rPr>
      </w:pPr>
      <w:r w:rsidRPr="00D44D9F">
        <w:rPr>
          <w:b/>
        </w:rPr>
        <w:t xml:space="preserve">EMPIRICAL RESULT </w:t>
      </w:r>
    </w:p>
    <w:p w:rsidR="00A36EC6" w:rsidRDefault="00CE6CB5" w:rsidP="00D44D9F">
      <w:pPr>
        <w:spacing w:line="480" w:lineRule="auto"/>
      </w:pPr>
      <w:r>
        <w:tab/>
        <w:t xml:space="preserve">In this section, I examine how share pledging cause more abnormal return than firms without share pledging. My hypothesis predicts that share pledging will cast positive signal to capital market. Investors or investing banks would consider it as a potential </w:t>
      </w:r>
      <w:r w:rsidR="005E6C2D">
        <w:t>opportunity to make money. Because China has weak regulation system, share pledging becomes a signal to show firms potential and that is how it attract others to believe firms with share pledging will bring returns back to them.</w:t>
      </w:r>
      <w:r>
        <w:t xml:space="preserve"> </w:t>
      </w:r>
    </w:p>
    <w:p w:rsidR="00A36EC6" w:rsidRDefault="00A36EC6" w:rsidP="00E51668">
      <w:pPr>
        <w:spacing w:line="480" w:lineRule="auto"/>
        <w:ind w:firstLine="420"/>
        <w:rPr>
          <w:b/>
        </w:rPr>
      </w:pPr>
    </w:p>
    <w:p w:rsidR="00A30545" w:rsidRDefault="00FB76AD" w:rsidP="00E51668">
      <w:pPr>
        <w:spacing w:line="480" w:lineRule="auto"/>
        <w:ind w:firstLine="420"/>
      </w:pPr>
      <w:r>
        <w:t>Table.</w:t>
      </w:r>
      <w:r w:rsidR="00A73BD9">
        <w:t>4</w:t>
      </w:r>
      <w:r>
        <w:t xml:space="preserve"> report</w:t>
      </w:r>
      <w:r w:rsidR="00FA55B5">
        <w:t>s</w:t>
      </w:r>
      <w:r>
        <w:t xml:space="preserve"> the relationship between the abnormal return and pledge ratio. </w:t>
      </w:r>
      <w:r w:rsidR="00A30545">
        <w:t xml:space="preserve">I use OLS regression to test coefficients among dependent variable, independent variable, and control variables. This table presents that </w:t>
      </w:r>
      <w:r w:rsidR="00FA55B5" w:rsidRPr="00FA55B5">
        <w:t>one unit increase in pledged shares ratio cause a 10.517% increase in abnormal return. The larger the market value firms have, the less abnormal return they will get. This is scalable because a 0.1 unit increase in pledged share ratio will cause 1.05</w:t>
      </w:r>
      <w:r w:rsidR="00FA55B5">
        <w:t>17% increase in abnormal return</w:t>
      </w:r>
      <w:r w:rsidR="00A30545">
        <w:t xml:space="preserve">. </w:t>
      </w:r>
      <w:r w:rsidR="00F80F98">
        <w:t>The coefficient of l</w:t>
      </w:r>
      <w:r w:rsidR="00FA55B5">
        <w:t xml:space="preserve">n </w:t>
      </w:r>
      <w:r w:rsidR="00F80F98">
        <w:t xml:space="preserve">(market value) is -.0.1189, which means </w:t>
      </w:r>
      <w:r w:rsidR="00C00D27">
        <w:t xml:space="preserve">the larger the market value firms have, the less abnormal return they will get. It makes sense because firms with large market value will be effect by market or government policy easily. However, my study has to take out of the effect of market effect. </w:t>
      </w:r>
      <w:r w:rsidR="00D0456A">
        <w:t xml:space="preserve">Return on equity seems extremely insignificant. The P-value is -0.06 and coefficient is -0.00039. </w:t>
      </w:r>
      <w:r w:rsidR="009E5667">
        <w:t xml:space="preserve">Coefficient of debt is 0.2320 and it is significant because there are over 70% of firms with debt ratio over 30%. </w:t>
      </w:r>
      <w:r w:rsidR="009E5667">
        <w:lastRenderedPageBreak/>
        <w:t>However, the mean of A</w:t>
      </w:r>
      <w:r w:rsidR="00FA55B5">
        <w:t xml:space="preserve">bnormal </w:t>
      </w:r>
      <w:r w:rsidR="009E5667">
        <w:t>R</w:t>
      </w:r>
      <w:r w:rsidR="00FA55B5">
        <w:t>eturn</w:t>
      </w:r>
      <w:r w:rsidR="009E5667">
        <w:t xml:space="preserve"> is 0.4% when firms’ debt ratio is over 0.7.</w:t>
      </w:r>
      <w:r w:rsidR="006E0FF9">
        <w:t xml:space="preserve"> Gross revenue is a measurement of income scale. Its coefficient is 0.06%. Gross revenue does not matter to the abnormal return. However, </w:t>
      </w:r>
      <w:r w:rsidR="00D259FD">
        <w:t>its t-value is -1.39</w:t>
      </w:r>
      <w:r w:rsidR="006E0FF9">
        <w:t xml:space="preserve">. When shareholders own one percent more ownership, they get 2% less abnormal return. </w:t>
      </w:r>
      <w:r w:rsidR="008523AA">
        <w:t xml:space="preserve">Coefficient of </w:t>
      </w:r>
      <w:proofErr w:type="gramStart"/>
      <w:r w:rsidR="00281BF4">
        <w:t>L</w:t>
      </w:r>
      <w:r w:rsidR="008523AA">
        <w:t>ag(</w:t>
      </w:r>
      <w:proofErr w:type="gramEnd"/>
      <w:r w:rsidR="00281BF4">
        <w:t>Abnormal</w:t>
      </w:r>
      <w:r w:rsidR="00FA55B5">
        <w:t xml:space="preserve"> </w:t>
      </w:r>
      <w:r w:rsidR="00281BF4">
        <w:t>R</w:t>
      </w:r>
      <w:r w:rsidR="008523AA">
        <w:t xml:space="preserve">eturn) is -.10543, which indicates that once there are abnormal return, it is more less likely to get abnormal return on the next quarter. </w:t>
      </w:r>
      <w:r w:rsidR="00281BF4">
        <w:t xml:space="preserve">It is the same for </w:t>
      </w:r>
      <w:proofErr w:type="gramStart"/>
      <w:r w:rsidR="00281BF4">
        <w:t>Lag(</w:t>
      </w:r>
      <w:proofErr w:type="gramEnd"/>
      <w:r w:rsidR="00281BF4">
        <w:t>Industry</w:t>
      </w:r>
      <w:r w:rsidR="00FA55B5">
        <w:t xml:space="preserve"> </w:t>
      </w:r>
      <w:r w:rsidR="00281BF4">
        <w:t>Abnormal</w:t>
      </w:r>
      <w:r w:rsidR="00FA55B5">
        <w:t xml:space="preserve"> </w:t>
      </w:r>
      <w:r w:rsidR="00281BF4">
        <w:t xml:space="preserve">Return). The </w:t>
      </w:r>
      <w:proofErr w:type="gramStart"/>
      <w:r w:rsidR="00281BF4">
        <w:t>Lag(</w:t>
      </w:r>
      <w:proofErr w:type="spellStart"/>
      <w:proofErr w:type="gramEnd"/>
      <w:r w:rsidR="00281BF4">
        <w:t>MarketV</w:t>
      </w:r>
      <w:proofErr w:type="spellEnd"/>
      <w:r w:rsidR="00FA55B5">
        <w:t xml:space="preserve"> </w:t>
      </w:r>
      <w:proofErr w:type="spellStart"/>
      <w:r w:rsidR="00281BF4">
        <w:t>alue</w:t>
      </w:r>
      <w:proofErr w:type="spellEnd"/>
      <w:r w:rsidR="00281BF4">
        <w:t>) is 0.00268 and</w:t>
      </w:r>
      <w:r w:rsidR="006042E0">
        <w:t xml:space="preserve"> t-value is 0.2</w:t>
      </w:r>
      <w:r w:rsidR="00281BF4">
        <w:t xml:space="preserve">. </w:t>
      </w:r>
    </w:p>
    <w:p w:rsidR="006460D5" w:rsidRPr="00FB76AD" w:rsidRDefault="00A30545" w:rsidP="00E51668">
      <w:pPr>
        <w:spacing w:line="480" w:lineRule="auto"/>
        <w:ind w:firstLine="420"/>
      </w:pPr>
      <w:r>
        <w:t xml:space="preserve"> </w:t>
      </w:r>
    </w:p>
    <w:p w:rsidR="00817795" w:rsidRPr="00FA55B5" w:rsidRDefault="00817795" w:rsidP="00FA55B5">
      <w:pPr>
        <w:spacing w:line="480" w:lineRule="auto"/>
        <w:rPr>
          <w:b/>
        </w:rPr>
      </w:pPr>
      <w:r w:rsidRPr="00FA55B5">
        <w:rPr>
          <w:b/>
        </w:rPr>
        <w:t>CHALLENGES IN THE RESEARCH</w:t>
      </w:r>
    </w:p>
    <w:p w:rsidR="00A36EC6" w:rsidRPr="00A36EC6" w:rsidRDefault="00A36EC6" w:rsidP="00A36EC6">
      <w:pPr>
        <w:spacing w:line="480" w:lineRule="auto"/>
        <w:ind w:firstLine="420"/>
        <w:rPr>
          <w:rFonts w:eastAsiaTheme="minorEastAsia"/>
          <w:lang w:eastAsia="zh-CN"/>
        </w:rPr>
      </w:pPr>
      <w:r w:rsidRPr="00A36EC6">
        <w:rPr>
          <w:rFonts w:eastAsiaTheme="minorEastAsia"/>
          <w:lang w:eastAsia="zh-CN"/>
        </w:rPr>
        <w:t>In the OLS regression, the endogeneity would mislead the result because of the inconsistent estimation. There exist unobservable factors in the model, and the fixed effect model can make the error of OLS regression small enough to get the precise result. The stock price is connected with investors’ psychology. When most people believe the stock price will go up, they are willing to spend money to invest that company. However, it is hard to identify what makes people have the belief. The ratio of pledged shares is one factor, but there are a lot of other factors, too. Thus, fixed effect model helps me analysis the effect of the ratio of pledged share and control the effect from others.</w:t>
      </w:r>
    </w:p>
    <w:p w:rsidR="00FA55B5" w:rsidRPr="003A71BD" w:rsidRDefault="00FA55B5" w:rsidP="00FA55B5">
      <w:pPr>
        <w:spacing w:line="480" w:lineRule="auto"/>
        <w:ind w:firstLine="420"/>
        <w:rPr>
          <w:color w:val="000000" w:themeColor="text1"/>
          <w:lang w:eastAsia="zh-CN"/>
        </w:rPr>
      </w:pPr>
      <w:r w:rsidRPr="00A9522D">
        <w:rPr>
          <w:color w:val="000000" w:themeColor="text1"/>
          <w:lang w:eastAsia="zh-CN"/>
        </w:rPr>
        <w:t>Because the dependent variable, the market value variable, and the industry abnormal return variable may be simultaneously determined, the</w:t>
      </w:r>
      <w:r>
        <w:rPr>
          <w:color w:val="000000" w:themeColor="text1"/>
          <w:lang w:eastAsia="zh-CN"/>
        </w:rPr>
        <w:t xml:space="preserve">n may cause </w:t>
      </w:r>
      <w:r w:rsidRPr="00A9522D">
        <w:rPr>
          <w:color w:val="000000" w:themeColor="text1"/>
          <w:lang w:eastAsia="zh-CN"/>
        </w:rPr>
        <w:t>endogeneity</w:t>
      </w:r>
      <w:r>
        <w:rPr>
          <w:color w:val="000000" w:themeColor="text1"/>
          <w:lang w:eastAsia="zh-CN"/>
        </w:rPr>
        <w:t xml:space="preserve"> </w:t>
      </w:r>
      <w:r w:rsidRPr="00675D23">
        <w:rPr>
          <w:noProof/>
          <w:color w:val="000000" w:themeColor="text1"/>
          <w:lang w:eastAsia="zh-CN"/>
        </w:rPr>
        <w:t>bias</w:t>
      </w:r>
      <w:r>
        <w:rPr>
          <w:noProof/>
          <w:color w:val="000000" w:themeColor="text1"/>
          <w:lang w:eastAsia="zh-CN"/>
        </w:rPr>
        <w:t>e</w:t>
      </w:r>
      <w:r w:rsidRPr="00675D23">
        <w:rPr>
          <w:noProof/>
          <w:color w:val="000000" w:themeColor="text1"/>
          <w:lang w:eastAsia="zh-CN"/>
        </w:rPr>
        <w:t>s</w:t>
      </w:r>
      <w:r w:rsidRPr="00A9522D">
        <w:rPr>
          <w:color w:val="000000" w:themeColor="text1"/>
          <w:lang w:eastAsia="zh-CN"/>
        </w:rPr>
        <w:t>. Therefore, I lagged the endogenous explanatory variables which will produce consistent results</w:t>
      </w:r>
      <w:r w:rsidR="004842CB">
        <w:rPr>
          <w:rStyle w:val="ad"/>
          <w:color w:val="000000" w:themeColor="text1"/>
          <w:lang w:eastAsia="zh-CN"/>
        </w:rPr>
        <w:footnoteReference w:id="4"/>
      </w:r>
      <w:r w:rsidRPr="00A9522D">
        <w:rPr>
          <w:color w:val="000000" w:themeColor="text1"/>
          <w:lang w:eastAsia="zh-CN"/>
        </w:rPr>
        <w:t>.</w:t>
      </w:r>
    </w:p>
    <w:p w:rsidR="009D7602" w:rsidRDefault="009D7602" w:rsidP="00BE7549">
      <w:pPr>
        <w:spacing w:line="480" w:lineRule="auto"/>
        <w:rPr>
          <w:b/>
        </w:rPr>
      </w:pPr>
    </w:p>
    <w:p w:rsidR="000D1A75" w:rsidRPr="00E019B3" w:rsidRDefault="000D1A75" w:rsidP="00BE7549">
      <w:pPr>
        <w:spacing w:line="480" w:lineRule="auto"/>
        <w:rPr>
          <w:b/>
        </w:rPr>
      </w:pPr>
      <w:r w:rsidRPr="00E019B3">
        <w:rPr>
          <w:b/>
        </w:rPr>
        <w:t>LINKS TO</w:t>
      </w:r>
      <w:r w:rsidR="00113A4E">
        <w:rPr>
          <w:b/>
        </w:rPr>
        <w:t xml:space="preserve"> RESEARCH LITERATURE AND POLICY</w:t>
      </w:r>
      <w:r w:rsidRPr="00E019B3">
        <w:rPr>
          <w:b/>
        </w:rPr>
        <w:t xml:space="preserve"> </w:t>
      </w:r>
    </w:p>
    <w:p w:rsidR="009D1163" w:rsidRDefault="00112073" w:rsidP="00531E17">
      <w:pPr>
        <w:spacing w:line="480" w:lineRule="auto"/>
        <w:ind w:firstLine="420"/>
      </w:pPr>
      <w:r w:rsidRPr="00112073">
        <w:lastRenderedPageBreak/>
        <w:t>Pledging share could be an investment signal for investors because the analysis of pledging share helps make investment strategies. Since the regulation of Chinese stock market is still not as complete as US stock market. Maturity issue makes the study of pledge share important for market analysis and prediction. From 201</w:t>
      </w:r>
      <w:r w:rsidR="007B6E1A">
        <w:t>3</w:t>
      </w:r>
      <w:r w:rsidRPr="00112073">
        <w:t xml:space="preserve"> to 2015, the number of pledged shares, the number of shareholders pledged share, and the value of pledged shares increases dramatically. More and more people are going to pledge shares. At the same time, Chinese stock market is under the intervention of government, so the increase the ratio of pledged shares in the overall market share probably will promote the economy growth in the next five years because share pledging gives firms that have more potential chances to develop. Also, those developed firms can take advantage in the global market by pledged share. That is the way that the share pledging promotes the economy growth.</w:t>
      </w:r>
    </w:p>
    <w:p w:rsidR="00403729" w:rsidRDefault="00403729" w:rsidP="00531E17">
      <w:pPr>
        <w:spacing w:line="480" w:lineRule="auto"/>
        <w:ind w:firstLine="420"/>
      </w:pPr>
    </w:p>
    <w:p w:rsidR="007328BD" w:rsidRPr="00FA55B5" w:rsidRDefault="00B300C6" w:rsidP="00FA55B5">
      <w:pPr>
        <w:spacing w:line="480" w:lineRule="auto"/>
        <w:rPr>
          <w:b/>
        </w:rPr>
      </w:pPr>
      <w:r w:rsidRPr="00FA55B5">
        <w:rPr>
          <w:b/>
        </w:rPr>
        <w:t>C</w:t>
      </w:r>
      <w:r w:rsidR="004949D3" w:rsidRPr="00FA55B5">
        <w:rPr>
          <w:b/>
        </w:rPr>
        <w:t>ONCLUSION</w:t>
      </w:r>
    </w:p>
    <w:p w:rsidR="00CA7357" w:rsidRPr="00FA55B5" w:rsidRDefault="00F338F3" w:rsidP="00FA55B5">
      <w:pPr>
        <w:spacing w:line="480" w:lineRule="auto"/>
        <w:ind w:firstLine="420"/>
      </w:pPr>
      <w:r w:rsidRPr="00FA55B5">
        <w:t xml:space="preserve">This paper examines the relationship between the </w:t>
      </w:r>
      <w:proofErr w:type="gramStart"/>
      <w:r w:rsidRPr="00FA55B5">
        <w:t>ratio</w:t>
      </w:r>
      <w:proofErr w:type="gramEnd"/>
      <w:r w:rsidRPr="00FA55B5">
        <w:t xml:space="preserve"> of share pledging and the abnormal returns from 201</w:t>
      </w:r>
      <w:r w:rsidR="007B6E1A" w:rsidRPr="00FA55B5">
        <w:t>3</w:t>
      </w:r>
      <w:r w:rsidRPr="00FA55B5">
        <w:t>-2015. My analysis indicates the higher ratio of pledging stock leads more abnormal returns because firms with pledged share indicate they have more potential than firms without pledged shares. There are studies about the share pledging for stock market from different countries. Most of them connects the pledging with polic</w:t>
      </w:r>
      <w:r w:rsidR="009D6866" w:rsidRPr="00FA55B5">
        <w:t xml:space="preserve">y. My study focuses on how </w:t>
      </w:r>
      <w:r w:rsidRPr="00FA55B5">
        <w:t xml:space="preserve">share pledging work on the stock market. Observing the stock performance from two periods helps me collect the data for the different market environment: </w:t>
      </w:r>
      <w:r w:rsidR="00686A62" w:rsidRPr="00FA55B5">
        <w:t>Ascend</w:t>
      </w:r>
      <w:r w:rsidRPr="00FA55B5">
        <w:t xml:space="preserve"> market and </w:t>
      </w:r>
      <w:r w:rsidR="00686A62" w:rsidRPr="00FA55B5">
        <w:t>decline</w:t>
      </w:r>
      <w:r w:rsidRPr="00FA55B5">
        <w:t xml:space="preserve"> market, </w:t>
      </w:r>
      <w:r w:rsidR="009D6866" w:rsidRPr="00FA55B5">
        <w:t>in</w:t>
      </w:r>
      <w:r w:rsidRPr="00FA55B5">
        <w:t xml:space="preserve"> the meanwhile, I can analysis the continuity market effect using the SSE index. Previous studies did not include the effect of the market because they are more likely to consider the share pledging as the management method instead of an investment strategy.</w:t>
      </w:r>
    </w:p>
    <w:p w:rsidR="00FA55B5" w:rsidRPr="00C72EBE" w:rsidRDefault="00FA55B5" w:rsidP="00FA55B5">
      <w:pPr>
        <w:spacing w:line="480" w:lineRule="auto"/>
        <w:jc w:val="center"/>
        <w:outlineLvl w:val="0"/>
        <w:rPr>
          <w:b/>
        </w:rPr>
      </w:pPr>
      <w:r w:rsidRPr="00C72EBE">
        <w:rPr>
          <w:b/>
        </w:rPr>
        <w:lastRenderedPageBreak/>
        <w:t>REFERENCES</w:t>
      </w:r>
    </w:p>
    <w:p w:rsidR="00FA55B5" w:rsidRPr="00A9522D" w:rsidRDefault="00FA55B5" w:rsidP="00FA55B5">
      <w:pPr>
        <w:pStyle w:val="Default"/>
        <w:spacing w:line="480" w:lineRule="auto"/>
        <w:rPr>
          <w:bCs/>
        </w:rPr>
      </w:pPr>
      <w:bookmarkStart w:id="2" w:name="OLE_LINK7"/>
      <w:bookmarkStart w:id="3" w:name="OLE_LINK8"/>
      <w:r w:rsidRPr="00A9522D">
        <w:rPr>
          <w:bCs/>
        </w:rPr>
        <w:t>Anderson, Ronald, Puleo, Michael.</w:t>
      </w:r>
      <w:r w:rsidRPr="00A9522D">
        <w:t xml:space="preserve"> “</w:t>
      </w:r>
      <w:r w:rsidRPr="00A9522D">
        <w:rPr>
          <w:bCs/>
        </w:rPr>
        <w:t>Insiders Share-Pledging and Firm Risk.</w:t>
      </w:r>
      <w:r w:rsidRPr="00A9522D">
        <w:t>”</w:t>
      </w:r>
      <w:r w:rsidRPr="00A9522D">
        <w:rPr>
          <w:bCs/>
        </w:rPr>
        <w:t xml:space="preserve"> Department of </w:t>
      </w:r>
      <w:r>
        <w:rPr>
          <w:bCs/>
        </w:rPr>
        <w:tab/>
      </w:r>
      <w:r w:rsidRPr="00A9522D">
        <w:rPr>
          <w:bCs/>
        </w:rPr>
        <w:t>Finance at Temple University, February 2015</w:t>
      </w:r>
    </w:p>
    <w:p w:rsidR="00FA55B5" w:rsidRPr="00A9522D" w:rsidRDefault="00FA55B5" w:rsidP="00FA55B5">
      <w:pPr>
        <w:pStyle w:val="Default"/>
        <w:spacing w:line="480" w:lineRule="auto"/>
        <w:ind w:left="418" w:hanging="418"/>
        <w:rPr>
          <w:bCs/>
        </w:rPr>
      </w:pPr>
      <w:bookmarkStart w:id="4" w:name="OLE_LINK2"/>
      <w:bookmarkStart w:id="5" w:name="OLE_LINK3"/>
      <w:bookmarkEnd w:id="2"/>
      <w:bookmarkEnd w:id="3"/>
      <w:r w:rsidRPr="00675D23">
        <w:rPr>
          <w:bCs/>
          <w:noProof/>
        </w:rPr>
        <w:t>Asija</w:t>
      </w:r>
      <w:r w:rsidRPr="00A9522D">
        <w:rPr>
          <w:bCs/>
        </w:rPr>
        <w:t xml:space="preserve"> </w:t>
      </w:r>
      <w:proofErr w:type="spellStart"/>
      <w:r w:rsidRPr="00A9522D">
        <w:rPr>
          <w:bCs/>
        </w:rPr>
        <w:t>Aman</w:t>
      </w:r>
      <w:proofErr w:type="spellEnd"/>
      <w:r w:rsidRPr="00A9522D">
        <w:rPr>
          <w:bCs/>
        </w:rPr>
        <w:t xml:space="preserve">, </w:t>
      </w:r>
      <w:proofErr w:type="spellStart"/>
      <w:r w:rsidRPr="00A9522D">
        <w:rPr>
          <w:bCs/>
        </w:rPr>
        <w:t>Marisetty</w:t>
      </w:r>
      <w:proofErr w:type="spellEnd"/>
      <w:r w:rsidRPr="00A9522D">
        <w:rPr>
          <w:bCs/>
        </w:rPr>
        <w:t xml:space="preserve"> </w:t>
      </w:r>
      <w:proofErr w:type="spellStart"/>
      <w:r w:rsidRPr="00A9522D">
        <w:rPr>
          <w:bCs/>
        </w:rPr>
        <w:t>Vijaya</w:t>
      </w:r>
      <w:proofErr w:type="spellEnd"/>
      <w:r w:rsidRPr="00A9522D">
        <w:rPr>
          <w:bCs/>
        </w:rPr>
        <w:t xml:space="preserve"> B, </w:t>
      </w:r>
      <w:proofErr w:type="spellStart"/>
      <w:r w:rsidRPr="00A9522D">
        <w:rPr>
          <w:bCs/>
        </w:rPr>
        <w:t>Rangan</w:t>
      </w:r>
      <w:proofErr w:type="spellEnd"/>
      <w:r w:rsidRPr="00A9522D">
        <w:rPr>
          <w:bCs/>
        </w:rPr>
        <w:t xml:space="preserve"> Srinivasan. </w:t>
      </w:r>
      <w:bookmarkStart w:id="6" w:name="OLE_LINK5"/>
      <w:bookmarkStart w:id="7" w:name="OLE_LINK6"/>
      <w:r w:rsidRPr="00A9522D">
        <w:t>“</w:t>
      </w:r>
      <w:r w:rsidRPr="00A9522D">
        <w:rPr>
          <w:bCs/>
        </w:rPr>
        <w:t xml:space="preserve">Do Insiders Who Their Shares Manipulate Reported </w:t>
      </w:r>
      <w:proofErr w:type="gramStart"/>
      <w:r w:rsidRPr="00A9522D">
        <w:rPr>
          <w:bCs/>
        </w:rPr>
        <w:t>Earnings</w:t>
      </w:r>
      <w:bookmarkEnd w:id="6"/>
      <w:bookmarkEnd w:id="7"/>
      <w:r w:rsidRPr="00A9522D">
        <w:rPr>
          <w:bCs/>
        </w:rPr>
        <w:t>.</w:t>
      </w:r>
      <w:proofErr w:type="gramEnd"/>
      <w:r w:rsidRPr="00A9522D">
        <w:t>”</w:t>
      </w:r>
      <w:bookmarkEnd w:id="4"/>
      <w:bookmarkEnd w:id="5"/>
      <w:r w:rsidRPr="00A9522D">
        <w:rPr>
          <w:bCs/>
        </w:rPr>
        <w:t xml:space="preserve"> RMIT University, December 2014</w:t>
      </w:r>
    </w:p>
    <w:p w:rsidR="00FA55B5" w:rsidRPr="00A9522D" w:rsidRDefault="00FA55B5" w:rsidP="00FA55B5">
      <w:pPr>
        <w:pStyle w:val="Default"/>
        <w:spacing w:line="480" w:lineRule="auto"/>
        <w:ind w:left="418" w:hanging="418"/>
      </w:pPr>
      <w:r w:rsidRPr="00A9522D">
        <w:t xml:space="preserve">Chan, K., Chen, H.-K., Hu, S.-Y., &amp; Liu, Y.-J. </w:t>
      </w:r>
      <w:r w:rsidRPr="00675D23">
        <w:rPr>
          <w:noProof/>
        </w:rPr>
        <w:t>(January,</w:t>
      </w:r>
      <w:r w:rsidRPr="00A9522D">
        <w:t xml:space="preserve"> 2013). Shares Pledged and Corporate Repurchase.</w:t>
      </w:r>
    </w:p>
    <w:p w:rsidR="00FA55B5" w:rsidRPr="00A9522D" w:rsidRDefault="00FA55B5" w:rsidP="00FA55B5">
      <w:pPr>
        <w:pStyle w:val="Default"/>
        <w:spacing w:line="480" w:lineRule="auto"/>
        <w:ind w:left="418" w:hanging="418"/>
      </w:pPr>
      <w:r w:rsidRPr="00A9522D">
        <w:rPr>
          <w:bCs/>
        </w:rPr>
        <w:t xml:space="preserve">Chen </w:t>
      </w:r>
      <w:r w:rsidRPr="00675D23">
        <w:rPr>
          <w:bCs/>
          <w:noProof/>
        </w:rPr>
        <w:t>Anlin</w:t>
      </w:r>
      <w:r w:rsidRPr="00A9522D">
        <w:rPr>
          <w:bCs/>
        </w:rPr>
        <w:t xml:space="preserve">, Kao </w:t>
      </w:r>
      <w:proofErr w:type="spellStart"/>
      <w:r w:rsidRPr="00A9522D">
        <w:rPr>
          <w:bCs/>
        </w:rPr>
        <w:t>Lanfeng</w:t>
      </w:r>
      <w:proofErr w:type="spellEnd"/>
      <w:r w:rsidRPr="00A9522D">
        <w:rPr>
          <w:bCs/>
        </w:rPr>
        <w:t>, Chen Yi-</w:t>
      </w:r>
      <w:proofErr w:type="spellStart"/>
      <w:r w:rsidRPr="00A9522D">
        <w:rPr>
          <w:bCs/>
        </w:rPr>
        <w:t>Kai</w:t>
      </w:r>
      <w:proofErr w:type="gramStart"/>
      <w:r w:rsidRPr="00A9522D">
        <w:rPr>
          <w:bCs/>
        </w:rPr>
        <w:t>.</w:t>
      </w:r>
      <w:r w:rsidRPr="00A9522D">
        <w:t>“</w:t>
      </w:r>
      <w:proofErr w:type="gramEnd"/>
      <w:r w:rsidRPr="00A9522D">
        <w:rPr>
          <w:bCs/>
        </w:rPr>
        <w:t>Agency</w:t>
      </w:r>
      <w:proofErr w:type="spellEnd"/>
      <w:r w:rsidRPr="00A9522D">
        <w:rPr>
          <w:bCs/>
        </w:rPr>
        <w:t xml:space="preserve"> Costs of Controlling Shareholder's Share Collateral with Taiwan </w:t>
      </w:r>
      <w:proofErr w:type="spellStart"/>
      <w:r w:rsidRPr="00A9522D">
        <w:rPr>
          <w:bCs/>
        </w:rPr>
        <w:t>Evidence.</w:t>
      </w:r>
      <w:r w:rsidRPr="00A9522D">
        <w:t>”</w:t>
      </w:r>
      <w:r w:rsidRPr="00A9522D">
        <w:rPr>
          <w:rStyle w:val="journalname"/>
          <w:shd w:val="clear" w:color="auto" w:fill="FFFFFF"/>
        </w:rPr>
        <w:t>Review</w:t>
      </w:r>
      <w:proofErr w:type="spellEnd"/>
      <w:r w:rsidRPr="00A9522D">
        <w:rPr>
          <w:rStyle w:val="journalname"/>
          <w:shd w:val="clear" w:color="auto" w:fill="FFFFFF"/>
        </w:rPr>
        <w:t xml:space="preserve"> of Pacific Basin Financial Markets </w:t>
      </w:r>
      <w:r w:rsidRPr="00A9522D">
        <w:rPr>
          <w:shd w:val="clear" w:color="auto" w:fill="FFFFFF"/>
        </w:rPr>
        <w:t>Volume 10, Issue 02, June 2007</w:t>
      </w:r>
      <w:r w:rsidRPr="00A9522D">
        <w:rPr>
          <w:rStyle w:val="page"/>
          <w:shd w:val="clear" w:color="auto" w:fill="FFFFFF"/>
        </w:rPr>
        <w:t xml:space="preserve"> 173-191</w:t>
      </w:r>
      <w:r w:rsidRPr="00A9522D">
        <w:rPr>
          <w:rStyle w:val="apple-converted-space"/>
          <w:shd w:val="clear" w:color="auto" w:fill="FFFFFF"/>
        </w:rPr>
        <w:t> </w:t>
      </w:r>
    </w:p>
    <w:p w:rsidR="00FA55B5" w:rsidRPr="00A9522D" w:rsidRDefault="00FA55B5" w:rsidP="00FA55B5">
      <w:pPr>
        <w:spacing w:line="480" w:lineRule="auto"/>
        <w:ind w:left="418" w:hanging="418"/>
        <w:rPr>
          <w:color w:val="000000"/>
        </w:rPr>
      </w:pPr>
      <w:r w:rsidRPr="00A9522D">
        <w:rPr>
          <w:color w:val="000000"/>
        </w:rPr>
        <w:t xml:space="preserve">Chopra </w:t>
      </w:r>
      <w:proofErr w:type="spellStart"/>
      <w:r w:rsidRPr="00A9522D">
        <w:rPr>
          <w:color w:val="000000"/>
        </w:rPr>
        <w:t>Navin</w:t>
      </w:r>
      <w:proofErr w:type="spellEnd"/>
      <w:r w:rsidRPr="00A9522D">
        <w:rPr>
          <w:color w:val="000000"/>
        </w:rPr>
        <w:t xml:space="preserve">, Ritter R Jay, </w:t>
      </w:r>
      <w:proofErr w:type="spellStart"/>
      <w:r w:rsidRPr="00A9522D">
        <w:rPr>
          <w:color w:val="000000"/>
        </w:rPr>
        <w:t>Lakonishok</w:t>
      </w:r>
      <w:proofErr w:type="spellEnd"/>
      <w:r w:rsidRPr="00A9522D">
        <w:rPr>
          <w:color w:val="000000"/>
        </w:rPr>
        <w:t xml:space="preserve"> </w:t>
      </w:r>
      <w:r w:rsidRPr="00675D23">
        <w:rPr>
          <w:noProof/>
          <w:color w:val="000000"/>
        </w:rPr>
        <w:t>Ritter .</w:t>
      </w:r>
      <w:r w:rsidRPr="00A9522D">
        <w:rPr>
          <w:color w:val="000000"/>
        </w:rPr>
        <w:t xml:space="preserve"> “Measuring Abnormal Performance: Do Stock </w:t>
      </w:r>
      <w:r w:rsidRPr="00675D23">
        <w:rPr>
          <w:noProof/>
          <w:color w:val="000000"/>
        </w:rPr>
        <w:t>Overract</w:t>
      </w:r>
      <w:r w:rsidRPr="00A9522D">
        <w:rPr>
          <w:color w:val="000000"/>
        </w:rPr>
        <w:t>.” Journal of Financial Economics (1992): 31(2): 235 - 268.</w:t>
      </w:r>
    </w:p>
    <w:p w:rsidR="00FA55B5" w:rsidRPr="00A9522D" w:rsidRDefault="00FA55B5" w:rsidP="00FA55B5">
      <w:pPr>
        <w:pStyle w:val="Default"/>
        <w:spacing w:line="480" w:lineRule="auto"/>
        <w:ind w:left="418" w:hanging="418"/>
        <w:rPr>
          <w:bCs/>
        </w:rPr>
      </w:pPr>
      <w:r w:rsidRPr="00A9522D">
        <w:t xml:space="preserve">Dou, Ying, </w:t>
      </w:r>
      <w:proofErr w:type="spellStart"/>
      <w:r w:rsidRPr="00A9522D">
        <w:t>Masulis</w:t>
      </w:r>
      <w:proofErr w:type="spellEnd"/>
      <w:r w:rsidRPr="00A9522D">
        <w:t xml:space="preserve">, Ronald, </w:t>
      </w:r>
      <w:proofErr w:type="spellStart"/>
      <w:r w:rsidRPr="00A9522D">
        <w:t>Zein</w:t>
      </w:r>
      <w:proofErr w:type="spellEnd"/>
      <w:r w:rsidRPr="00A9522D">
        <w:t>, Jason. “</w:t>
      </w:r>
      <w:proofErr w:type="spellStart"/>
      <w:r w:rsidRPr="00675D23">
        <w:rPr>
          <w:noProof/>
        </w:rPr>
        <w:t>Sharehilder</w:t>
      </w:r>
      <w:proofErr w:type="spellEnd"/>
      <w:r w:rsidRPr="00A9522D">
        <w:t xml:space="preserve"> Wealth Consequence of Insider Pledging of Company Stock as Collateral for Personal Loans.” June 2015</w:t>
      </w:r>
    </w:p>
    <w:p w:rsidR="00FA55B5" w:rsidRPr="00A9522D" w:rsidRDefault="00FA55B5" w:rsidP="00FA55B5">
      <w:pPr>
        <w:pStyle w:val="Default"/>
        <w:spacing w:line="480" w:lineRule="auto"/>
        <w:ind w:left="418" w:hanging="418"/>
      </w:pPr>
      <w:r w:rsidRPr="00A9522D">
        <w:t xml:space="preserve">Investment Report, </w:t>
      </w:r>
      <w:proofErr w:type="spellStart"/>
      <w:r w:rsidRPr="00A9522D">
        <w:t>AnXin</w:t>
      </w:r>
      <w:proofErr w:type="spellEnd"/>
      <w:r w:rsidRPr="00A9522D">
        <w:t xml:space="preserve"> Security, </w:t>
      </w:r>
      <w:r w:rsidRPr="00675D23">
        <w:rPr>
          <w:noProof/>
        </w:rPr>
        <w:t>July,</w:t>
      </w:r>
      <w:r w:rsidRPr="00A9522D">
        <w:t xml:space="preserve"> 2015</w:t>
      </w:r>
    </w:p>
    <w:p w:rsidR="00FA55B5" w:rsidRPr="00A9522D" w:rsidRDefault="00FA55B5" w:rsidP="00FA55B5">
      <w:pPr>
        <w:pStyle w:val="Default"/>
        <w:spacing w:line="480" w:lineRule="auto"/>
        <w:ind w:left="418" w:hanging="418"/>
        <w:rPr>
          <w:bCs/>
        </w:rPr>
      </w:pPr>
      <w:r w:rsidRPr="00A9522D">
        <w:t>Wang Yu-Chun. “</w:t>
      </w:r>
      <w:r w:rsidRPr="00A9522D">
        <w:rPr>
          <w:bCs/>
        </w:rPr>
        <w:t xml:space="preserve">Pledge of Stock and Firm Value: Evidence from the Amendment of the Company Act of </w:t>
      </w:r>
      <w:proofErr w:type="spellStart"/>
      <w:r w:rsidRPr="00A9522D">
        <w:rPr>
          <w:bCs/>
        </w:rPr>
        <w:t>Taiwan.</w:t>
      </w:r>
      <w:r w:rsidRPr="00A9522D">
        <w:t>”</w:t>
      </w:r>
      <w:r w:rsidRPr="00A9522D">
        <w:rPr>
          <w:i/>
        </w:rPr>
        <w:t>Global</w:t>
      </w:r>
      <w:proofErr w:type="spellEnd"/>
      <w:r w:rsidRPr="00A9522D">
        <w:rPr>
          <w:i/>
        </w:rPr>
        <w:t xml:space="preserve"> Business Research Journal</w:t>
      </w:r>
      <w:r w:rsidRPr="00A9522D">
        <w:t>, Taiwan, 17-19, July 2015, Paper ID: S535</w:t>
      </w:r>
    </w:p>
    <w:p w:rsidR="00FA55B5" w:rsidRPr="00A9522D" w:rsidRDefault="00FA55B5" w:rsidP="00FA55B5">
      <w:pPr>
        <w:pStyle w:val="Default"/>
        <w:spacing w:line="480" w:lineRule="auto"/>
        <w:ind w:left="418" w:hanging="418"/>
        <w:rPr>
          <w:bCs/>
        </w:rPr>
      </w:pPr>
      <w:r w:rsidRPr="00A9522D">
        <w:t>WSJ research; Securities and Exchange Commission.</w:t>
      </w:r>
    </w:p>
    <w:p w:rsidR="00C84E70" w:rsidRPr="00FA55B5" w:rsidRDefault="00C84E70" w:rsidP="00FA55B5">
      <w:pPr>
        <w:spacing w:line="480" w:lineRule="auto"/>
        <w:outlineLvl w:val="0"/>
        <w:rPr>
          <w:rFonts w:eastAsiaTheme="minorEastAsia"/>
          <w:b/>
        </w:rPr>
      </w:pPr>
    </w:p>
    <w:p w:rsidR="00FA55B5" w:rsidRDefault="00FA55B5" w:rsidP="00FA55B5">
      <w:pPr>
        <w:pStyle w:val="Default"/>
        <w:spacing w:line="480" w:lineRule="auto"/>
        <w:rPr>
          <w:b/>
        </w:rPr>
      </w:pPr>
    </w:p>
    <w:p w:rsidR="00FA55B5" w:rsidRDefault="00FA55B5" w:rsidP="00FA55B5">
      <w:pPr>
        <w:pStyle w:val="Default"/>
        <w:spacing w:line="480" w:lineRule="auto"/>
        <w:rPr>
          <w:b/>
        </w:rPr>
      </w:pPr>
    </w:p>
    <w:p w:rsidR="00FA55B5" w:rsidRDefault="00FA55B5" w:rsidP="00FA55B5">
      <w:pPr>
        <w:pStyle w:val="Default"/>
        <w:spacing w:line="480" w:lineRule="auto"/>
        <w:rPr>
          <w:b/>
        </w:rPr>
      </w:pPr>
    </w:p>
    <w:p w:rsidR="001E5CBA" w:rsidRPr="00D44D9F" w:rsidRDefault="001E5CBA" w:rsidP="001E5CBA">
      <w:pPr>
        <w:spacing w:line="480" w:lineRule="auto"/>
        <w:rPr>
          <w:b/>
        </w:rPr>
      </w:pPr>
      <w:r w:rsidRPr="00D44D9F">
        <w:rPr>
          <w:b/>
        </w:rPr>
        <w:lastRenderedPageBreak/>
        <w:t xml:space="preserve">EMPIRICAL RESULT </w:t>
      </w:r>
    </w:p>
    <w:p w:rsidR="00FA55B5" w:rsidRPr="00FA55B5" w:rsidRDefault="00FA55B5" w:rsidP="00FA55B5">
      <w:pPr>
        <w:pStyle w:val="ab"/>
        <w:keepNext/>
        <w:jc w:val="center"/>
        <w:rPr>
          <w:rFonts w:ascii="Times New Roman" w:hAnsi="Times New Roman" w:cs="Times New Roman"/>
          <w:b/>
          <w:sz w:val="24"/>
          <w:szCs w:val="24"/>
        </w:rPr>
      </w:pPr>
      <w:r w:rsidRPr="00FA55B5">
        <w:rPr>
          <w:rFonts w:ascii="Times New Roman" w:hAnsi="Times New Roman" w:cs="Times New Roman"/>
          <w:b/>
          <w:sz w:val="24"/>
          <w:szCs w:val="24"/>
        </w:rPr>
        <w:t xml:space="preserve">Table </w:t>
      </w:r>
      <w:r w:rsidRPr="00FA55B5">
        <w:rPr>
          <w:rFonts w:ascii="Times New Roman" w:hAnsi="Times New Roman" w:cs="Times New Roman"/>
          <w:b/>
          <w:noProof/>
          <w:sz w:val="24"/>
          <w:szCs w:val="24"/>
        </w:rPr>
        <w:t>3,</w:t>
      </w:r>
      <w:r>
        <w:rPr>
          <w:rFonts w:ascii="Times New Roman" w:hAnsi="Times New Roman" w:cs="Times New Roman"/>
          <w:b/>
          <w:noProof/>
          <w:sz w:val="24"/>
          <w:szCs w:val="24"/>
        </w:rPr>
        <w:t xml:space="preserve"> </w:t>
      </w:r>
      <w:r w:rsidRPr="00FA55B5">
        <w:rPr>
          <w:rFonts w:ascii="Times New Roman" w:hAnsi="Times New Roman" w:cs="Times New Roman"/>
          <w:b/>
          <w:noProof/>
          <w:sz w:val="24"/>
          <w:szCs w:val="24"/>
        </w:rPr>
        <w:t>Summary</w:t>
      </w:r>
      <w:r w:rsidRPr="00FA55B5">
        <w:rPr>
          <w:rFonts w:ascii="Times New Roman" w:hAnsi="Times New Roman" w:cs="Times New Roman"/>
          <w:b/>
          <w:sz w:val="24"/>
          <w:szCs w:val="24"/>
        </w:rPr>
        <w:t xml:space="preserve"> Statistics of Variables</w:t>
      </w:r>
    </w:p>
    <w:p w:rsidR="00FA55B5" w:rsidRPr="00A9522D" w:rsidRDefault="00FA55B5" w:rsidP="00FA55B5">
      <w:pPr>
        <w:pStyle w:val="a4"/>
        <w:ind w:left="420" w:firstLineChars="0" w:firstLine="0"/>
      </w:pPr>
    </w:p>
    <w:tbl>
      <w:tblPr>
        <w:tblStyle w:val="a6"/>
        <w:tblW w:w="0" w:type="auto"/>
        <w:tblLook w:val="04A0" w:firstRow="1" w:lastRow="0" w:firstColumn="1" w:lastColumn="0" w:noHBand="0" w:noVBand="1"/>
      </w:tblPr>
      <w:tblGrid>
        <w:gridCol w:w="2547"/>
        <w:gridCol w:w="1134"/>
        <w:gridCol w:w="1134"/>
        <w:gridCol w:w="1134"/>
        <w:gridCol w:w="1276"/>
        <w:gridCol w:w="1559"/>
      </w:tblGrid>
      <w:tr w:rsidR="00FA55B5" w:rsidRPr="00A9522D" w:rsidTr="00995DEF">
        <w:tc>
          <w:tcPr>
            <w:tcW w:w="2547" w:type="dxa"/>
            <w:vAlign w:val="center"/>
          </w:tcPr>
          <w:p w:rsidR="00FA55B5" w:rsidRPr="00A9522D" w:rsidRDefault="00FA55B5" w:rsidP="00995DEF">
            <w:r w:rsidRPr="00A9522D">
              <w:t>Variable</w:t>
            </w:r>
          </w:p>
        </w:tc>
        <w:tc>
          <w:tcPr>
            <w:tcW w:w="1134" w:type="dxa"/>
            <w:vAlign w:val="center"/>
          </w:tcPr>
          <w:p w:rsidR="00FA55B5" w:rsidRPr="00A9522D" w:rsidRDefault="00FA55B5" w:rsidP="00995DEF">
            <w:proofErr w:type="spellStart"/>
            <w:r w:rsidRPr="00A9522D">
              <w:t>Obs</w:t>
            </w:r>
            <w:proofErr w:type="spellEnd"/>
          </w:p>
        </w:tc>
        <w:tc>
          <w:tcPr>
            <w:tcW w:w="1134" w:type="dxa"/>
            <w:vAlign w:val="center"/>
          </w:tcPr>
          <w:p w:rsidR="00FA55B5" w:rsidRPr="00A9522D" w:rsidRDefault="00FA55B5" w:rsidP="00995DEF">
            <w:r w:rsidRPr="00A9522D">
              <w:t>Mean</w:t>
            </w:r>
          </w:p>
        </w:tc>
        <w:tc>
          <w:tcPr>
            <w:tcW w:w="1134" w:type="dxa"/>
            <w:vAlign w:val="center"/>
          </w:tcPr>
          <w:p w:rsidR="00FA55B5" w:rsidRPr="00A9522D" w:rsidRDefault="00FA55B5" w:rsidP="00995DEF">
            <w:r w:rsidRPr="00A9522D">
              <w:t>Std. Dev.</w:t>
            </w:r>
          </w:p>
        </w:tc>
        <w:tc>
          <w:tcPr>
            <w:tcW w:w="1276" w:type="dxa"/>
            <w:vAlign w:val="center"/>
          </w:tcPr>
          <w:p w:rsidR="00FA55B5" w:rsidRPr="00A9522D" w:rsidRDefault="00FA55B5" w:rsidP="00995DEF">
            <w:r w:rsidRPr="00A9522D">
              <w:t>Min</w:t>
            </w:r>
          </w:p>
        </w:tc>
        <w:tc>
          <w:tcPr>
            <w:tcW w:w="1559" w:type="dxa"/>
            <w:vAlign w:val="center"/>
          </w:tcPr>
          <w:p w:rsidR="00FA55B5" w:rsidRPr="00A9522D" w:rsidRDefault="00FA55B5" w:rsidP="00995DEF">
            <w:r w:rsidRPr="00A9522D">
              <w:t>Max</w:t>
            </w:r>
          </w:p>
        </w:tc>
      </w:tr>
      <w:tr w:rsidR="00FA55B5" w:rsidRPr="00A9522D" w:rsidTr="00995DEF">
        <w:tc>
          <w:tcPr>
            <w:tcW w:w="2547" w:type="dxa"/>
            <w:vAlign w:val="center"/>
          </w:tcPr>
          <w:p w:rsidR="00FA55B5" w:rsidRPr="00A9522D" w:rsidRDefault="00FA55B5" w:rsidP="00995DEF"/>
        </w:tc>
        <w:tc>
          <w:tcPr>
            <w:tcW w:w="1134" w:type="dxa"/>
            <w:vAlign w:val="center"/>
          </w:tcPr>
          <w:p w:rsidR="00FA55B5" w:rsidRPr="00A9522D" w:rsidRDefault="00FA55B5" w:rsidP="00995DEF"/>
        </w:tc>
        <w:tc>
          <w:tcPr>
            <w:tcW w:w="1134" w:type="dxa"/>
            <w:vAlign w:val="center"/>
          </w:tcPr>
          <w:p w:rsidR="00FA55B5" w:rsidRPr="00A9522D" w:rsidRDefault="00FA55B5" w:rsidP="00995DEF"/>
        </w:tc>
        <w:tc>
          <w:tcPr>
            <w:tcW w:w="1134" w:type="dxa"/>
            <w:vAlign w:val="center"/>
          </w:tcPr>
          <w:p w:rsidR="00FA55B5" w:rsidRPr="00A9522D" w:rsidRDefault="00FA55B5" w:rsidP="00995DEF"/>
        </w:tc>
        <w:tc>
          <w:tcPr>
            <w:tcW w:w="1276" w:type="dxa"/>
            <w:vAlign w:val="center"/>
          </w:tcPr>
          <w:p w:rsidR="00FA55B5" w:rsidRPr="00A9522D" w:rsidRDefault="00FA55B5" w:rsidP="00995DEF"/>
        </w:tc>
        <w:tc>
          <w:tcPr>
            <w:tcW w:w="1559" w:type="dxa"/>
            <w:vAlign w:val="center"/>
          </w:tcPr>
          <w:p w:rsidR="00FA55B5" w:rsidRPr="00A9522D" w:rsidRDefault="00FA55B5" w:rsidP="00995DEF"/>
        </w:tc>
      </w:tr>
      <w:tr w:rsidR="00FA55B5" w:rsidRPr="00A9522D" w:rsidTr="00995DEF">
        <w:tc>
          <w:tcPr>
            <w:tcW w:w="2547" w:type="dxa"/>
            <w:vAlign w:val="center"/>
          </w:tcPr>
          <w:p w:rsidR="00FA55B5" w:rsidRPr="00A9522D" w:rsidRDefault="00FA55B5" w:rsidP="00995DEF">
            <w:r>
              <w:t>Pledged or not</w:t>
            </w:r>
          </w:p>
        </w:tc>
        <w:tc>
          <w:tcPr>
            <w:tcW w:w="1134" w:type="dxa"/>
            <w:vAlign w:val="center"/>
          </w:tcPr>
          <w:p w:rsidR="00FA55B5" w:rsidRPr="00A9522D" w:rsidRDefault="00FA55B5" w:rsidP="00995DEF">
            <w:r w:rsidRPr="00A9522D">
              <w:t>25,290</w:t>
            </w:r>
          </w:p>
        </w:tc>
        <w:tc>
          <w:tcPr>
            <w:tcW w:w="1134" w:type="dxa"/>
            <w:vAlign w:val="center"/>
          </w:tcPr>
          <w:p w:rsidR="00FA55B5" w:rsidRPr="00A9522D" w:rsidRDefault="00FA55B5" w:rsidP="00995DEF">
            <w:r w:rsidRPr="00A9522D">
              <w:t>.2170819</w:t>
            </w:r>
          </w:p>
        </w:tc>
        <w:tc>
          <w:tcPr>
            <w:tcW w:w="1134" w:type="dxa"/>
            <w:vAlign w:val="center"/>
          </w:tcPr>
          <w:p w:rsidR="00FA55B5" w:rsidRPr="00A9522D" w:rsidRDefault="00FA55B5" w:rsidP="00995DEF">
            <w:r w:rsidRPr="00A9522D">
              <w:t>.412267</w:t>
            </w:r>
          </w:p>
        </w:tc>
        <w:tc>
          <w:tcPr>
            <w:tcW w:w="1276" w:type="dxa"/>
            <w:vAlign w:val="center"/>
          </w:tcPr>
          <w:p w:rsidR="00FA55B5" w:rsidRPr="00A9522D" w:rsidRDefault="00FA55B5" w:rsidP="00995DEF">
            <w:r w:rsidRPr="00A9522D">
              <w:t>0</w:t>
            </w:r>
          </w:p>
        </w:tc>
        <w:tc>
          <w:tcPr>
            <w:tcW w:w="1559" w:type="dxa"/>
            <w:vAlign w:val="center"/>
          </w:tcPr>
          <w:p w:rsidR="00FA55B5" w:rsidRPr="00A9522D" w:rsidRDefault="00FA55B5" w:rsidP="00995DEF">
            <w:r w:rsidRPr="00A9522D">
              <w:t>1</w:t>
            </w:r>
          </w:p>
        </w:tc>
      </w:tr>
      <w:tr w:rsidR="00FA55B5" w:rsidRPr="00A9522D" w:rsidTr="00995DEF">
        <w:tc>
          <w:tcPr>
            <w:tcW w:w="2547" w:type="dxa"/>
            <w:vAlign w:val="center"/>
          </w:tcPr>
          <w:p w:rsidR="00FA55B5" w:rsidRPr="00A9522D" w:rsidRDefault="00FA55B5" w:rsidP="00995DEF">
            <w:proofErr w:type="spellStart"/>
            <w:r w:rsidRPr="00A9522D">
              <w:t>PledgeRatio</w:t>
            </w:r>
            <w:proofErr w:type="spellEnd"/>
          </w:p>
        </w:tc>
        <w:tc>
          <w:tcPr>
            <w:tcW w:w="1134" w:type="dxa"/>
            <w:vAlign w:val="center"/>
          </w:tcPr>
          <w:p w:rsidR="00FA55B5" w:rsidRPr="00A9522D" w:rsidRDefault="00FA55B5" w:rsidP="00995DEF">
            <w:r w:rsidRPr="00A9522D">
              <w:t>25,284</w:t>
            </w:r>
          </w:p>
        </w:tc>
        <w:tc>
          <w:tcPr>
            <w:tcW w:w="1134" w:type="dxa"/>
            <w:vAlign w:val="center"/>
          </w:tcPr>
          <w:p w:rsidR="00FA55B5" w:rsidRPr="00A9522D" w:rsidRDefault="00FA55B5" w:rsidP="00995DEF">
            <w:r w:rsidRPr="00A9522D">
              <w:t>.0388686</w:t>
            </w:r>
          </w:p>
        </w:tc>
        <w:tc>
          <w:tcPr>
            <w:tcW w:w="1134" w:type="dxa"/>
            <w:vAlign w:val="center"/>
          </w:tcPr>
          <w:p w:rsidR="00FA55B5" w:rsidRPr="00A9522D" w:rsidRDefault="00FA55B5" w:rsidP="00995DEF">
            <w:r w:rsidRPr="00A9522D">
              <w:t>.1411767</w:t>
            </w:r>
          </w:p>
        </w:tc>
        <w:tc>
          <w:tcPr>
            <w:tcW w:w="1276" w:type="dxa"/>
            <w:vAlign w:val="center"/>
          </w:tcPr>
          <w:p w:rsidR="00FA55B5" w:rsidRPr="00A9522D" w:rsidRDefault="00FA55B5" w:rsidP="00995DEF">
            <w:r w:rsidRPr="00A9522D">
              <w:t>0</w:t>
            </w:r>
          </w:p>
        </w:tc>
        <w:tc>
          <w:tcPr>
            <w:tcW w:w="1559" w:type="dxa"/>
            <w:vAlign w:val="center"/>
          </w:tcPr>
          <w:p w:rsidR="00FA55B5" w:rsidRPr="00A9522D" w:rsidRDefault="00FA55B5" w:rsidP="00995DEF">
            <w:r w:rsidRPr="00A9522D">
              <w:t>1.882554</w:t>
            </w:r>
          </w:p>
        </w:tc>
      </w:tr>
      <w:tr w:rsidR="00FA55B5" w:rsidRPr="00A9522D" w:rsidTr="00995DEF">
        <w:tc>
          <w:tcPr>
            <w:tcW w:w="2547" w:type="dxa"/>
            <w:vAlign w:val="center"/>
          </w:tcPr>
          <w:p w:rsidR="00FA55B5" w:rsidRPr="00A9522D" w:rsidRDefault="00FA55B5" w:rsidP="00995DEF">
            <w:r w:rsidRPr="00A9522D">
              <w:t>ROE</w:t>
            </w:r>
          </w:p>
        </w:tc>
        <w:tc>
          <w:tcPr>
            <w:tcW w:w="1134" w:type="dxa"/>
            <w:vAlign w:val="center"/>
          </w:tcPr>
          <w:p w:rsidR="00FA55B5" w:rsidRPr="00A9522D" w:rsidRDefault="00FA55B5" w:rsidP="00995DEF">
            <w:r w:rsidRPr="00A9522D">
              <w:t>21,774</w:t>
            </w:r>
          </w:p>
        </w:tc>
        <w:tc>
          <w:tcPr>
            <w:tcW w:w="1134" w:type="dxa"/>
            <w:vAlign w:val="center"/>
          </w:tcPr>
          <w:p w:rsidR="00FA55B5" w:rsidRPr="00A9522D" w:rsidRDefault="00FA55B5" w:rsidP="00995DEF">
            <w:r w:rsidRPr="00A9522D">
              <w:t>.0367981</w:t>
            </w:r>
          </w:p>
        </w:tc>
        <w:tc>
          <w:tcPr>
            <w:tcW w:w="1134" w:type="dxa"/>
            <w:vAlign w:val="center"/>
          </w:tcPr>
          <w:p w:rsidR="00FA55B5" w:rsidRPr="00A9522D" w:rsidRDefault="00FA55B5" w:rsidP="00995DEF">
            <w:r w:rsidRPr="00A9522D">
              <w:t>.2485901</w:t>
            </w:r>
          </w:p>
        </w:tc>
        <w:tc>
          <w:tcPr>
            <w:tcW w:w="1276" w:type="dxa"/>
            <w:vAlign w:val="center"/>
          </w:tcPr>
          <w:p w:rsidR="00FA55B5" w:rsidRPr="00A9522D" w:rsidRDefault="00FA55B5" w:rsidP="00995DEF">
            <w:r w:rsidRPr="00A9522D">
              <w:t>-11.69634</w:t>
            </w:r>
          </w:p>
        </w:tc>
        <w:tc>
          <w:tcPr>
            <w:tcW w:w="1559" w:type="dxa"/>
            <w:vAlign w:val="center"/>
          </w:tcPr>
          <w:p w:rsidR="00FA55B5" w:rsidRPr="00A9522D" w:rsidRDefault="00FA55B5" w:rsidP="00995DEF">
            <w:r w:rsidRPr="00A9522D">
              <w:t>2.687469</w:t>
            </w:r>
          </w:p>
        </w:tc>
      </w:tr>
      <w:tr w:rsidR="00FA55B5" w:rsidRPr="00A9522D" w:rsidTr="00995DEF">
        <w:trPr>
          <w:trHeight w:val="378"/>
        </w:trPr>
        <w:tc>
          <w:tcPr>
            <w:tcW w:w="2547" w:type="dxa"/>
            <w:vAlign w:val="center"/>
          </w:tcPr>
          <w:p w:rsidR="00FA55B5" w:rsidRPr="00A9522D" w:rsidRDefault="00FA55B5" w:rsidP="00995DEF">
            <w:r w:rsidRPr="00A9522D">
              <w:t>Ln(</w:t>
            </w:r>
            <w:proofErr w:type="spellStart"/>
            <w:r w:rsidRPr="00A9522D">
              <w:t>MarketValue</w:t>
            </w:r>
            <w:proofErr w:type="spellEnd"/>
            <w:r w:rsidRPr="00A9522D">
              <w:t>)</w:t>
            </w:r>
          </w:p>
        </w:tc>
        <w:tc>
          <w:tcPr>
            <w:tcW w:w="1134" w:type="dxa"/>
            <w:vAlign w:val="center"/>
          </w:tcPr>
          <w:p w:rsidR="00FA55B5" w:rsidRPr="00A9522D" w:rsidRDefault="00FA55B5" w:rsidP="00995DEF">
            <w:r w:rsidRPr="00A9522D">
              <w:t>24,217</w:t>
            </w:r>
          </w:p>
        </w:tc>
        <w:tc>
          <w:tcPr>
            <w:tcW w:w="1134" w:type="dxa"/>
            <w:vAlign w:val="center"/>
          </w:tcPr>
          <w:p w:rsidR="00FA55B5" w:rsidRPr="00A9522D" w:rsidRDefault="00FA55B5" w:rsidP="00995DEF">
            <w:r w:rsidRPr="00A9522D">
              <w:t>3.892128</w:t>
            </w:r>
          </w:p>
        </w:tc>
        <w:tc>
          <w:tcPr>
            <w:tcW w:w="1134" w:type="dxa"/>
            <w:vAlign w:val="center"/>
          </w:tcPr>
          <w:p w:rsidR="00FA55B5" w:rsidRPr="00A9522D" w:rsidRDefault="00FA55B5" w:rsidP="00995DEF">
            <w:r w:rsidRPr="00A9522D">
              <w:t>.4156673</w:t>
            </w:r>
          </w:p>
        </w:tc>
        <w:tc>
          <w:tcPr>
            <w:tcW w:w="1276" w:type="dxa"/>
            <w:vAlign w:val="center"/>
          </w:tcPr>
          <w:p w:rsidR="00FA55B5" w:rsidRPr="00A9522D" w:rsidRDefault="00FA55B5" w:rsidP="00995DEF">
            <w:r w:rsidRPr="00A9522D">
              <w:t>2.930535</w:t>
            </w:r>
          </w:p>
        </w:tc>
        <w:tc>
          <w:tcPr>
            <w:tcW w:w="1559" w:type="dxa"/>
            <w:vAlign w:val="center"/>
          </w:tcPr>
          <w:p w:rsidR="00FA55B5" w:rsidRPr="00A9522D" w:rsidRDefault="00FA55B5" w:rsidP="00995DEF">
            <w:r w:rsidRPr="00A9522D">
              <w:t>6.336586</w:t>
            </w:r>
          </w:p>
        </w:tc>
      </w:tr>
      <w:tr w:rsidR="00FA55B5" w:rsidRPr="00A9522D" w:rsidTr="00995DEF">
        <w:trPr>
          <w:trHeight w:val="312"/>
        </w:trPr>
        <w:tc>
          <w:tcPr>
            <w:tcW w:w="2547" w:type="dxa"/>
            <w:vAlign w:val="center"/>
          </w:tcPr>
          <w:p w:rsidR="00FA55B5" w:rsidRPr="00A9522D" w:rsidRDefault="00FA55B5" w:rsidP="00995DEF">
            <w:r w:rsidRPr="00A9522D">
              <w:t>Debt</w:t>
            </w:r>
          </w:p>
        </w:tc>
        <w:tc>
          <w:tcPr>
            <w:tcW w:w="1134" w:type="dxa"/>
            <w:vAlign w:val="center"/>
          </w:tcPr>
          <w:p w:rsidR="00FA55B5" w:rsidRPr="00A9522D" w:rsidRDefault="00FA55B5" w:rsidP="00995DEF">
            <w:r w:rsidRPr="00A9522D">
              <w:t>21,698</w:t>
            </w:r>
          </w:p>
        </w:tc>
        <w:tc>
          <w:tcPr>
            <w:tcW w:w="1134" w:type="dxa"/>
            <w:vAlign w:val="center"/>
          </w:tcPr>
          <w:p w:rsidR="00FA55B5" w:rsidRPr="00A9522D" w:rsidRDefault="00FA55B5" w:rsidP="00995DEF">
            <w:r w:rsidRPr="00A9522D">
              <w:t>.4441872</w:t>
            </w:r>
          </w:p>
        </w:tc>
        <w:tc>
          <w:tcPr>
            <w:tcW w:w="1134" w:type="dxa"/>
            <w:vAlign w:val="center"/>
          </w:tcPr>
          <w:p w:rsidR="00FA55B5" w:rsidRPr="00A9522D" w:rsidRDefault="00FA55B5" w:rsidP="00995DEF">
            <w:r w:rsidRPr="00A9522D">
              <w:t>.3059729</w:t>
            </w:r>
          </w:p>
        </w:tc>
        <w:tc>
          <w:tcPr>
            <w:tcW w:w="1276" w:type="dxa"/>
            <w:vAlign w:val="center"/>
          </w:tcPr>
          <w:p w:rsidR="00FA55B5" w:rsidRPr="00A9522D" w:rsidRDefault="00FA55B5" w:rsidP="00995DEF">
            <w:r w:rsidRPr="00A9522D">
              <w:t>-.22719</w:t>
            </w:r>
          </w:p>
        </w:tc>
        <w:tc>
          <w:tcPr>
            <w:tcW w:w="1559" w:type="dxa"/>
            <w:vAlign w:val="center"/>
          </w:tcPr>
          <w:p w:rsidR="00FA55B5" w:rsidRPr="00A9522D" w:rsidRDefault="00FA55B5" w:rsidP="00995DEF">
            <w:r w:rsidRPr="00A9522D">
              <w:t>24.9971</w:t>
            </w:r>
          </w:p>
        </w:tc>
      </w:tr>
      <w:tr w:rsidR="00FA55B5" w:rsidRPr="00A9522D" w:rsidTr="00995DEF">
        <w:trPr>
          <w:trHeight w:val="270"/>
        </w:trPr>
        <w:tc>
          <w:tcPr>
            <w:tcW w:w="2547" w:type="dxa"/>
            <w:vAlign w:val="center"/>
          </w:tcPr>
          <w:p w:rsidR="00FA55B5" w:rsidRPr="00A9522D" w:rsidRDefault="00FA55B5" w:rsidP="00995DEF"/>
        </w:tc>
        <w:tc>
          <w:tcPr>
            <w:tcW w:w="1134" w:type="dxa"/>
            <w:vAlign w:val="center"/>
          </w:tcPr>
          <w:p w:rsidR="00FA55B5" w:rsidRPr="00A9522D" w:rsidRDefault="00FA55B5" w:rsidP="00995DEF"/>
        </w:tc>
        <w:tc>
          <w:tcPr>
            <w:tcW w:w="1134" w:type="dxa"/>
            <w:vAlign w:val="center"/>
          </w:tcPr>
          <w:p w:rsidR="00FA55B5" w:rsidRPr="00A9522D" w:rsidRDefault="00FA55B5" w:rsidP="00995DEF"/>
        </w:tc>
        <w:tc>
          <w:tcPr>
            <w:tcW w:w="1134" w:type="dxa"/>
            <w:vAlign w:val="center"/>
          </w:tcPr>
          <w:p w:rsidR="00FA55B5" w:rsidRPr="00A9522D" w:rsidRDefault="00FA55B5" w:rsidP="00995DEF"/>
        </w:tc>
        <w:tc>
          <w:tcPr>
            <w:tcW w:w="1276" w:type="dxa"/>
            <w:vAlign w:val="center"/>
          </w:tcPr>
          <w:p w:rsidR="00FA55B5" w:rsidRPr="00A9522D" w:rsidRDefault="00FA55B5" w:rsidP="00995DEF"/>
        </w:tc>
        <w:tc>
          <w:tcPr>
            <w:tcW w:w="1559" w:type="dxa"/>
            <w:vAlign w:val="center"/>
          </w:tcPr>
          <w:p w:rsidR="00FA55B5" w:rsidRPr="00A9522D" w:rsidRDefault="00FA55B5" w:rsidP="00995DEF"/>
        </w:tc>
      </w:tr>
      <w:tr w:rsidR="00FA55B5" w:rsidRPr="00A9522D" w:rsidTr="00995DEF">
        <w:trPr>
          <w:trHeight w:val="300"/>
        </w:trPr>
        <w:tc>
          <w:tcPr>
            <w:tcW w:w="2547" w:type="dxa"/>
            <w:vAlign w:val="center"/>
          </w:tcPr>
          <w:p w:rsidR="00FA55B5" w:rsidRPr="00A9522D" w:rsidRDefault="00FA55B5" w:rsidP="00995DEF">
            <w:r w:rsidRPr="00A9522D">
              <w:t>Ownership</w:t>
            </w:r>
          </w:p>
        </w:tc>
        <w:tc>
          <w:tcPr>
            <w:tcW w:w="1134" w:type="dxa"/>
            <w:vAlign w:val="center"/>
          </w:tcPr>
          <w:p w:rsidR="00FA55B5" w:rsidRPr="00A9522D" w:rsidRDefault="00FA55B5" w:rsidP="00995DEF">
            <w:r w:rsidRPr="00A9522D">
              <w:t>24,834</w:t>
            </w:r>
          </w:p>
        </w:tc>
        <w:tc>
          <w:tcPr>
            <w:tcW w:w="1134" w:type="dxa"/>
            <w:vAlign w:val="center"/>
          </w:tcPr>
          <w:p w:rsidR="00FA55B5" w:rsidRPr="00A9522D" w:rsidRDefault="00FA55B5" w:rsidP="00995DEF">
            <w:r w:rsidRPr="00A9522D">
              <w:t>.3503577</w:t>
            </w:r>
          </w:p>
        </w:tc>
        <w:tc>
          <w:tcPr>
            <w:tcW w:w="1134" w:type="dxa"/>
            <w:vAlign w:val="center"/>
          </w:tcPr>
          <w:p w:rsidR="00FA55B5" w:rsidRPr="00A9522D" w:rsidRDefault="00FA55B5" w:rsidP="00995DEF">
            <w:r w:rsidRPr="00A9522D">
              <w:t>.1538477</w:t>
            </w:r>
          </w:p>
        </w:tc>
        <w:tc>
          <w:tcPr>
            <w:tcW w:w="1276" w:type="dxa"/>
            <w:vAlign w:val="center"/>
          </w:tcPr>
          <w:p w:rsidR="00FA55B5" w:rsidRPr="00A9522D" w:rsidRDefault="00FA55B5" w:rsidP="00995DEF">
            <w:r w:rsidRPr="00A9522D">
              <w:t>.0039</w:t>
            </w:r>
          </w:p>
        </w:tc>
        <w:tc>
          <w:tcPr>
            <w:tcW w:w="1559" w:type="dxa"/>
            <w:vAlign w:val="center"/>
          </w:tcPr>
          <w:p w:rsidR="00FA55B5" w:rsidRPr="00A9522D" w:rsidRDefault="00FA55B5" w:rsidP="00995DEF">
            <w:r w:rsidRPr="00A9522D">
              <w:t>.933617</w:t>
            </w:r>
          </w:p>
        </w:tc>
      </w:tr>
      <w:tr w:rsidR="00FA55B5" w:rsidRPr="00A9522D" w:rsidTr="00995DEF">
        <w:trPr>
          <w:trHeight w:val="318"/>
        </w:trPr>
        <w:tc>
          <w:tcPr>
            <w:tcW w:w="2547" w:type="dxa"/>
            <w:vAlign w:val="center"/>
          </w:tcPr>
          <w:p w:rsidR="00FA55B5" w:rsidRPr="00A9522D" w:rsidRDefault="00FA55B5" w:rsidP="00995DEF">
            <w:proofErr w:type="spellStart"/>
            <w:r w:rsidRPr="00A9522D">
              <w:t>GrossRevenue</w:t>
            </w:r>
            <w:proofErr w:type="spellEnd"/>
          </w:p>
        </w:tc>
        <w:tc>
          <w:tcPr>
            <w:tcW w:w="1134" w:type="dxa"/>
            <w:vAlign w:val="center"/>
          </w:tcPr>
          <w:p w:rsidR="00FA55B5" w:rsidRPr="00A9522D" w:rsidRDefault="00FA55B5" w:rsidP="00995DEF">
            <w:r w:rsidRPr="00A9522D">
              <w:t>22,216</w:t>
            </w:r>
          </w:p>
        </w:tc>
        <w:tc>
          <w:tcPr>
            <w:tcW w:w="1134" w:type="dxa"/>
            <w:vAlign w:val="center"/>
          </w:tcPr>
          <w:p w:rsidR="00FA55B5" w:rsidRPr="00A9522D" w:rsidRDefault="00FA55B5" w:rsidP="00995DEF">
            <w:r w:rsidRPr="00A9522D">
              <w:t>3.253544</w:t>
            </w:r>
          </w:p>
        </w:tc>
        <w:tc>
          <w:tcPr>
            <w:tcW w:w="1134" w:type="dxa"/>
            <w:vAlign w:val="center"/>
          </w:tcPr>
          <w:p w:rsidR="00FA55B5" w:rsidRPr="00A9522D" w:rsidRDefault="00FA55B5" w:rsidP="00995DEF">
            <w:r w:rsidRPr="00A9522D">
              <w:t>8.749129</w:t>
            </w:r>
          </w:p>
        </w:tc>
        <w:tc>
          <w:tcPr>
            <w:tcW w:w="1276" w:type="dxa"/>
            <w:vAlign w:val="center"/>
          </w:tcPr>
          <w:p w:rsidR="00FA55B5" w:rsidRPr="00A9522D" w:rsidRDefault="00FA55B5" w:rsidP="00995DEF">
            <w:r w:rsidRPr="00A9522D">
              <w:t>-1.00e-05</w:t>
            </w:r>
          </w:p>
        </w:tc>
        <w:tc>
          <w:tcPr>
            <w:tcW w:w="1559" w:type="dxa"/>
            <w:vAlign w:val="center"/>
          </w:tcPr>
          <w:p w:rsidR="00FA55B5" w:rsidRPr="00A9522D" w:rsidRDefault="00FA55B5" w:rsidP="00995DEF">
            <w:r w:rsidRPr="00A9522D">
              <w:t>99.916</w:t>
            </w:r>
          </w:p>
        </w:tc>
      </w:tr>
      <w:tr w:rsidR="00FA55B5" w:rsidRPr="00A9522D" w:rsidTr="00995DEF">
        <w:tc>
          <w:tcPr>
            <w:tcW w:w="2547" w:type="dxa"/>
            <w:vAlign w:val="center"/>
          </w:tcPr>
          <w:p w:rsidR="00FA55B5" w:rsidRPr="00A9522D" w:rsidRDefault="00FA55B5" w:rsidP="00995DEF">
            <w:r w:rsidRPr="00A9522D">
              <w:t>Lag(Ln Market value)</w:t>
            </w:r>
          </w:p>
        </w:tc>
        <w:tc>
          <w:tcPr>
            <w:tcW w:w="1134" w:type="dxa"/>
            <w:vAlign w:val="center"/>
          </w:tcPr>
          <w:p w:rsidR="00FA55B5" w:rsidRPr="00A9522D" w:rsidRDefault="00FA55B5" w:rsidP="00995DEF">
            <w:r w:rsidRPr="00A9522D">
              <w:t>21,412</w:t>
            </w:r>
          </w:p>
        </w:tc>
        <w:tc>
          <w:tcPr>
            <w:tcW w:w="1134" w:type="dxa"/>
            <w:vAlign w:val="center"/>
          </w:tcPr>
          <w:p w:rsidR="00FA55B5" w:rsidRPr="00A9522D" w:rsidRDefault="00FA55B5" w:rsidP="00995DEF">
            <w:r w:rsidRPr="00A9522D">
              <w:t>3.870591</w:t>
            </w:r>
          </w:p>
        </w:tc>
        <w:tc>
          <w:tcPr>
            <w:tcW w:w="1134" w:type="dxa"/>
            <w:vAlign w:val="center"/>
          </w:tcPr>
          <w:p w:rsidR="00FA55B5" w:rsidRPr="00A9522D" w:rsidRDefault="00FA55B5" w:rsidP="00995DEF">
            <w:r w:rsidRPr="00A9522D">
              <w:t>.4201105</w:t>
            </w:r>
          </w:p>
        </w:tc>
        <w:tc>
          <w:tcPr>
            <w:tcW w:w="1276" w:type="dxa"/>
            <w:vAlign w:val="center"/>
          </w:tcPr>
          <w:p w:rsidR="00FA55B5" w:rsidRPr="00A9522D" w:rsidRDefault="00FA55B5" w:rsidP="00995DEF">
            <w:r w:rsidRPr="00A9522D">
              <w:t>2.930535</w:t>
            </w:r>
          </w:p>
        </w:tc>
        <w:tc>
          <w:tcPr>
            <w:tcW w:w="1559" w:type="dxa"/>
            <w:vAlign w:val="center"/>
          </w:tcPr>
          <w:p w:rsidR="00FA55B5" w:rsidRPr="00A9522D" w:rsidRDefault="00FA55B5" w:rsidP="00995DEF">
            <w:r w:rsidRPr="00A9522D">
              <w:t>6.336586</w:t>
            </w:r>
          </w:p>
        </w:tc>
      </w:tr>
    </w:tbl>
    <w:p w:rsidR="00FA55B5" w:rsidRDefault="00FA55B5" w:rsidP="00FA55B5"/>
    <w:p w:rsidR="00FA55B5" w:rsidRDefault="00FA55B5" w:rsidP="00FA55B5"/>
    <w:p w:rsidR="00FA55B5" w:rsidRDefault="00FA55B5" w:rsidP="00FA55B5">
      <w:pPr>
        <w:pStyle w:val="a4"/>
        <w:ind w:left="420" w:firstLineChars="0" w:firstLine="0"/>
      </w:pPr>
    </w:p>
    <w:p w:rsidR="0092334F" w:rsidRDefault="0092334F" w:rsidP="00FA55B5">
      <w:pPr>
        <w:pStyle w:val="a4"/>
        <w:ind w:left="420" w:firstLineChars="0" w:firstLine="0"/>
      </w:pPr>
    </w:p>
    <w:p w:rsidR="0092334F" w:rsidRDefault="0092334F" w:rsidP="00FA55B5">
      <w:pPr>
        <w:pStyle w:val="a4"/>
        <w:ind w:left="420" w:firstLineChars="0" w:firstLine="0"/>
      </w:pPr>
    </w:p>
    <w:p w:rsidR="0092334F" w:rsidRDefault="0092334F" w:rsidP="00FA55B5">
      <w:pPr>
        <w:pStyle w:val="a4"/>
        <w:ind w:left="420" w:firstLineChars="0" w:firstLine="0"/>
      </w:pPr>
    </w:p>
    <w:p w:rsidR="0092334F" w:rsidRDefault="0092334F" w:rsidP="00FA55B5">
      <w:pPr>
        <w:pStyle w:val="a4"/>
        <w:ind w:left="420" w:firstLineChars="0" w:firstLine="0"/>
      </w:pPr>
    </w:p>
    <w:p w:rsidR="0092334F" w:rsidRDefault="0092334F" w:rsidP="00FA55B5">
      <w:pPr>
        <w:pStyle w:val="a4"/>
        <w:ind w:left="420" w:firstLineChars="0" w:firstLine="0"/>
      </w:pPr>
    </w:p>
    <w:p w:rsidR="0092334F" w:rsidRDefault="0092334F" w:rsidP="00FA55B5">
      <w:pPr>
        <w:pStyle w:val="a4"/>
        <w:ind w:left="420" w:firstLineChars="0" w:firstLine="0"/>
      </w:pPr>
    </w:p>
    <w:p w:rsidR="0092334F" w:rsidRDefault="0092334F" w:rsidP="00FA55B5">
      <w:pPr>
        <w:pStyle w:val="a4"/>
        <w:ind w:left="420" w:firstLineChars="0" w:firstLine="0"/>
      </w:pPr>
    </w:p>
    <w:p w:rsidR="0092334F" w:rsidRDefault="0092334F" w:rsidP="00FA55B5">
      <w:pPr>
        <w:pStyle w:val="a4"/>
        <w:ind w:left="420" w:firstLineChars="0" w:firstLine="0"/>
      </w:pPr>
    </w:p>
    <w:p w:rsidR="0092334F" w:rsidRDefault="0092334F" w:rsidP="00FA55B5">
      <w:pPr>
        <w:pStyle w:val="a4"/>
        <w:ind w:left="420" w:firstLineChars="0" w:firstLine="0"/>
      </w:pPr>
    </w:p>
    <w:p w:rsidR="0092334F" w:rsidRDefault="0092334F" w:rsidP="00FA55B5">
      <w:pPr>
        <w:pStyle w:val="a4"/>
        <w:ind w:left="420" w:firstLineChars="0" w:firstLine="0"/>
      </w:pPr>
    </w:p>
    <w:p w:rsidR="0092334F" w:rsidRDefault="0092334F" w:rsidP="00FA55B5">
      <w:pPr>
        <w:pStyle w:val="a4"/>
        <w:ind w:left="420" w:firstLineChars="0" w:firstLine="0"/>
      </w:pPr>
    </w:p>
    <w:p w:rsidR="0092334F" w:rsidRDefault="0092334F" w:rsidP="00FA55B5">
      <w:pPr>
        <w:pStyle w:val="a4"/>
        <w:ind w:left="420" w:firstLineChars="0" w:firstLine="0"/>
      </w:pPr>
    </w:p>
    <w:p w:rsidR="0092334F" w:rsidRDefault="0092334F" w:rsidP="00FA55B5">
      <w:pPr>
        <w:pStyle w:val="a4"/>
        <w:ind w:left="420" w:firstLineChars="0" w:firstLine="0"/>
      </w:pPr>
    </w:p>
    <w:p w:rsidR="0092334F" w:rsidRDefault="0092334F" w:rsidP="00FA55B5">
      <w:pPr>
        <w:pStyle w:val="a4"/>
        <w:ind w:left="420" w:firstLineChars="0" w:firstLine="0"/>
      </w:pPr>
    </w:p>
    <w:p w:rsidR="0092334F" w:rsidRDefault="0092334F" w:rsidP="00FA55B5">
      <w:pPr>
        <w:pStyle w:val="a4"/>
        <w:ind w:left="420" w:firstLineChars="0" w:firstLine="0"/>
      </w:pPr>
    </w:p>
    <w:p w:rsidR="0092334F" w:rsidRDefault="0092334F" w:rsidP="00FA55B5">
      <w:pPr>
        <w:pStyle w:val="a4"/>
        <w:ind w:left="420" w:firstLineChars="0" w:firstLine="0"/>
      </w:pPr>
    </w:p>
    <w:p w:rsidR="0092334F" w:rsidRDefault="0092334F" w:rsidP="00FA55B5">
      <w:pPr>
        <w:pStyle w:val="a4"/>
        <w:ind w:left="420" w:firstLineChars="0" w:firstLine="0"/>
      </w:pPr>
    </w:p>
    <w:p w:rsidR="0092334F" w:rsidRDefault="0092334F" w:rsidP="00FA55B5">
      <w:pPr>
        <w:pStyle w:val="a4"/>
        <w:ind w:left="420" w:firstLineChars="0" w:firstLine="0"/>
      </w:pPr>
    </w:p>
    <w:p w:rsidR="0092334F" w:rsidRDefault="0092334F" w:rsidP="00FA55B5">
      <w:pPr>
        <w:pStyle w:val="a4"/>
        <w:ind w:left="420" w:firstLineChars="0" w:firstLine="0"/>
      </w:pPr>
    </w:p>
    <w:p w:rsidR="0092334F" w:rsidRDefault="0092334F" w:rsidP="00FA55B5">
      <w:pPr>
        <w:pStyle w:val="a4"/>
        <w:ind w:left="420" w:firstLineChars="0" w:firstLine="0"/>
      </w:pPr>
    </w:p>
    <w:p w:rsidR="0092334F" w:rsidRDefault="0092334F" w:rsidP="00FA55B5">
      <w:pPr>
        <w:pStyle w:val="a4"/>
        <w:ind w:left="420" w:firstLineChars="0" w:firstLine="0"/>
      </w:pPr>
    </w:p>
    <w:p w:rsidR="0092334F" w:rsidRDefault="0092334F" w:rsidP="00FA55B5">
      <w:pPr>
        <w:pStyle w:val="a4"/>
        <w:ind w:left="420" w:firstLineChars="0" w:firstLine="0"/>
      </w:pPr>
    </w:p>
    <w:p w:rsidR="0092334F" w:rsidRPr="00A9522D" w:rsidRDefault="0092334F" w:rsidP="00FA55B5">
      <w:pPr>
        <w:pStyle w:val="a4"/>
        <w:ind w:left="420" w:firstLineChars="0" w:firstLine="0"/>
      </w:pPr>
    </w:p>
    <w:p w:rsidR="00FA55B5" w:rsidRDefault="00FA55B5" w:rsidP="00FA55B5">
      <w:pPr>
        <w:pStyle w:val="ab"/>
        <w:keepNext/>
        <w:ind w:left="420"/>
        <w:rPr>
          <w:rFonts w:ascii="Times New Roman" w:hAnsi="Times New Roman" w:cs="Times New Roman"/>
          <w:b/>
          <w:sz w:val="24"/>
          <w:szCs w:val="24"/>
        </w:rPr>
      </w:pPr>
    </w:p>
    <w:p w:rsidR="00FA55B5" w:rsidRPr="00A9522D" w:rsidRDefault="00FA55B5" w:rsidP="00FA55B5">
      <w:pPr>
        <w:pStyle w:val="ab"/>
        <w:keepNext/>
        <w:ind w:left="420"/>
        <w:jc w:val="center"/>
        <w:rPr>
          <w:rFonts w:ascii="Times New Roman" w:hAnsi="Times New Roman" w:cs="Times New Roman"/>
          <w:b/>
          <w:sz w:val="24"/>
          <w:szCs w:val="24"/>
        </w:rPr>
      </w:pPr>
      <w:r w:rsidRPr="00A9522D">
        <w:rPr>
          <w:rFonts w:ascii="Times New Roman" w:hAnsi="Times New Roman" w:cs="Times New Roman"/>
          <w:b/>
          <w:sz w:val="24"/>
          <w:szCs w:val="24"/>
        </w:rPr>
        <w:t>Table 4, OLS Regression with Industry and Time Fixed Effect</w:t>
      </w:r>
    </w:p>
    <w:p w:rsidR="00FA55B5" w:rsidRPr="00A9522D" w:rsidRDefault="00FA55B5" w:rsidP="00FA55B5">
      <w:pPr>
        <w:pStyle w:val="a4"/>
        <w:ind w:left="420" w:firstLineChars="0" w:firstLine="0"/>
      </w:pPr>
      <w:proofErr w:type="spellStart"/>
      <w:proofErr w:type="gramStart"/>
      <w:r w:rsidRPr="00A9522D">
        <w:t>eststo</w:t>
      </w:r>
      <w:proofErr w:type="spellEnd"/>
      <w:proofErr w:type="gramEnd"/>
      <w:r w:rsidRPr="00A9522D">
        <w:t xml:space="preserve">: qui </w:t>
      </w:r>
      <w:proofErr w:type="spellStart"/>
      <w:r w:rsidRPr="00A9522D">
        <w:t>reg</w:t>
      </w:r>
      <w:proofErr w:type="spellEnd"/>
      <w:r w:rsidRPr="00A9522D">
        <w:t xml:space="preserve"> </w:t>
      </w:r>
      <w:proofErr w:type="spellStart"/>
      <w:r w:rsidRPr="00A9522D">
        <w:t>AbnormalReturn</w:t>
      </w:r>
      <w:proofErr w:type="spellEnd"/>
      <w:r w:rsidRPr="00A9522D">
        <w:t xml:space="preserve"> Pledge</w:t>
      </w:r>
      <w:r>
        <w:t xml:space="preserve"> Ratio ROE </w:t>
      </w:r>
      <w:proofErr w:type="spellStart"/>
      <w:r>
        <w:t>LogMarketValue</w:t>
      </w:r>
      <w:proofErr w:type="spellEnd"/>
      <w:r>
        <w:t xml:space="preserve"> Debt </w:t>
      </w:r>
      <w:r w:rsidRPr="00A9522D">
        <w:t xml:space="preserve">Ownership </w:t>
      </w:r>
      <w:proofErr w:type="spellStart"/>
      <w:r w:rsidRPr="00A9522D">
        <w:t>GrossRevenue</w:t>
      </w:r>
      <w:proofErr w:type="spellEnd"/>
      <w:r w:rsidRPr="00A9522D">
        <w:t xml:space="preserve"> </w:t>
      </w:r>
      <w:proofErr w:type="spellStart"/>
      <w:r>
        <w:t>lagIndustryAbnormalReturn</w:t>
      </w:r>
      <w:proofErr w:type="spellEnd"/>
      <w:r>
        <w:t xml:space="preserve"> </w:t>
      </w:r>
      <w:proofErr w:type="spellStart"/>
      <w:r>
        <w:t>lagA</w:t>
      </w:r>
      <w:r w:rsidRPr="00A9522D">
        <w:t>bnormalR</w:t>
      </w:r>
      <w:r>
        <w:t>eturn</w:t>
      </w:r>
      <w:proofErr w:type="spellEnd"/>
    </w:p>
    <w:p w:rsidR="00FA55B5" w:rsidRPr="00A9522D" w:rsidRDefault="00FA55B5" w:rsidP="00FA55B5">
      <w:r w:rsidRPr="00A9522D">
        <w:t xml:space="preserve">&gt; </w:t>
      </w:r>
      <w:proofErr w:type="spellStart"/>
      <w:proofErr w:type="gramStart"/>
      <w:r w:rsidRPr="00A9522D">
        <w:t>eturn</w:t>
      </w:r>
      <w:proofErr w:type="spellEnd"/>
      <w:proofErr w:type="gramEnd"/>
      <w:r w:rsidRPr="00A9522D">
        <w:t xml:space="preserve"> </w:t>
      </w:r>
      <w:proofErr w:type="spellStart"/>
      <w:r w:rsidRPr="00A9522D">
        <w:t>lagLogMarketValue</w:t>
      </w:r>
      <w:proofErr w:type="spellEnd"/>
      <w:r w:rsidRPr="00A9522D">
        <w:t xml:space="preserve"> </w:t>
      </w:r>
      <w:proofErr w:type="spellStart"/>
      <w:r w:rsidRPr="00A9522D">
        <w:t>i.Ind</w:t>
      </w:r>
      <w:proofErr w:type="spellEnd"/>
      <w:r w:rsidRPr="00A9522D">
        <w:t xml:space="preserve"> </w:t>
      </w:r>
      <w:proofErr w:type="spellStart"/>
      <w:r w:rsidRPr="00A9522D">
        <w:t>i.Date,robust</w:t>
      </w:r>
      <w:proofErr w:type="spellEnd"/>
    </w:p>
    <w:tbl>
      <w:tblPr>
        <w:tblW w:w="0" w:type="auto"/>
        <w:tblLayout w:type="fixed"/>
        <w:tblLook w:val="0000" w:firstRow="0" w:lastRow="0" w:firstColumn="0" w:lastColumn="0" w:noHBand="0" w:noVBand="0"/>
      </w:tblPr>
      <w:tblGrid>
        <w:gridCol w:w="3652"/>
        <w:gridCol w:w="3402"/>
      </w:tblGrid>
      <w:tr w:rsidR="00FA55B5" w:rsidRPr="00A9522D" w:rsidTr="00995DEF">
        <w:tc>
          <w:tcPr>
            <w:tcW w:w="3652" w:type="dxa"/>
            <w:tcBorders>
              <w:top w:val="single" w:sz="4" w:space="0" w:color="auto"/>
              <w:left w:val="nil"/>
              <w:bottom w:val="nil"/>
              <w:right w:val="nil"/>
            </w:tcBorders>
          </w:tcPr>
          <w:p w:rsidR="00FA55B5" w:rsidRPr="00A9522D" w:rsidRDefault="00FA55B5" w:rsidP="00995DEF">
            <w:pPr>
              <w:autoSpaceDE w:val="0"/>
              <w:autoSpaceDN w:val="0"/>
              <w:adjustRightInd w:val="0"/>
            </w:pPr>
          </w:p>
        </w:tc>
        <w:tc>
          <w:tcPr>
            <w:tcW w:w="3402" w:type="dxa"/>
            <w:tcBorders>
              <w:top w:val="single" w:sz="4" w:space="0" w:color="auto"/>
              <w:left w:val="nil"/>
              <w:bottom w:val="nil"/>
              <w:right w:val="nil"/>
            </w:tcBorders>
          </w:tcPr>
          <w:p w:rsidR="00FA55B5" w:rsidRPr="00A9522D" w:rsidRDefault="00FA55B5" w:rsidP="00995DEF">
            <w:pPr>
              <w:autoSpaceDE w:val="0"/>
              <w:autoSpaceDN w:val="0"/>
              <w:adjustRightInd w:val="0"/>
              <w:jc w:val="center"/>
            </w:pPr>
            <w:r w:rsidRPr="00A9522D">
              <w:t>(1)</w:t>
            </w:r>
          </w:p>
        </w:tc>
      </w:tr>
      <w:tr w:rsidR="00FA55B5" w:rsidRPr="00A9522D" w:rsidTr="00995DEF">
        <w:tc>
          <w:tcPr>
            <w:tcW w:w="3652" w:type="dxa"/>
            <w:tcBorders>
              <w:top w:val="nil"/>
              <w:left w:val="nil"/>
              <w:bottom w:val="nil"/>
              <w:right w:val="nil"/>
            </w:tcBorders>
          </w:tcPr>
          <w:p w:rsidR="00FA55B5" w:rsidRPr="00A9522D" w:rsidRDefault="00FA55B5" w:rsidP="00995DEF">
            <w:pPr>
              <w:autoSpaceDE w:val="0"/>
              <w:autoSpaceDN w:val="0"/>
              <w:adjustRightInd w:val="0"/>
            </w:pPr>
          </w:p>
        </w:tc>
        <w:tc>
          <w:tcPr>
            <w:tcW w:w="3402" w:type="dxa"/>
            <w:tcBorders>
              <w:top w:val="nil"/>
              <w:left w:val="nil"/>
              <w:bottom w:val="nil"/>
              <w:right w:val="nil"/>
            </w:tcBorders>
          </w:tcPr>
          <w:p w:rsidR="00FA55B5" w:rsidRPr="00A9522D" w:rsidRDefault="00FA55B5" w:rsidP="00995DEF">
            <w:pPr>
              <w:autoSpaceDE w:val="0"/>
              <w:autoSpaceDN w:val="0"/>
              <w:adjustRightInd w:val="0"/>
              <w:jc w:val="center"/>
            </w:pPr>
            <w:proofErr w:type="spellStart"/>
            <w:r w:rsidRPr="00A9522D">
              <w:t>AbnormalReturn</w:t>
            </w:r>
            <w:proofErr w:type="spellEnd"/>
          </w:p>
        </w:tc>
      </w:tr>
      <w:tr w:rsidR="00FA55B5" w:rsidRPr="00A9522D" w:rsidTr="00995DEF">
        <w:tc>
          <w:tcPr>
            <w:tcW w:w="3652" w:type="dxa"/>
            <w:tcBorders>
              <w:top w:val="single" w:sz="4" w:space="0" w:color="auto"/>
              <w:left w:val="nil"/>
              <w:bottom w:val="nil"/>
              <w:right w:val="nil"/>
            </w:tcBorders>
          </w:tcPr>
          <w:p w:rsidR="00FA55B5" w:rsidRPr="00A9522D" w:rsidRDefault="00FA55B5" w:rsidP="00995DEF">
            <w:pPr>
              <w:autoSpaceDE w:val="0"/>
              <w:autoSpaceDN w:val="0"/>
              <w:adjustRightInd w:val="0"/>
            </w:pPr>
            <w:r w:rsidRPr="00A9522D">
              <w:t>Pledge Ratio</w:t>
            </w:r>
          </w:p>
        </w:tc>
        <w:tc>
          <w:tcPr>
            <w:tcW w:w="3402" w:type="dxa"/>
            <w:tcBorders>
              <w:top w:val="single" w:sz="4" w:space="0" w:color="auto"/>
              <w:left w:val="nil"/>
              <w:bottom w:val="nil"/>
              <w:right w:val="nil"/>
            </w:tcBorders>
          </w:tcPr>
          <w:p w:rsidR="00FA55B5" w:rsidRPr="00A9522D" w:rsidRDefault="00FA55B5" w:rsidP="00995DEF">
            <w:pPr>
              <w:autoSpaceDE w:val="0"/>
              <w:autoSpaceDN w:val="0"/>
              <w:adjustRightInd w:val="0"/>
              <w:jc w:val="center"/>
            </w:pPr>
            <w:r w:rsidRPr="00A9522D">
              <w:t>0.105</w:t>
            </w:r>
            <w:r w:rsidRPr="00A9522D">
              <w:rPr>
                <w:vertAlign w:val="superscript"/>
              </w:rPr>
              <w:t>***</w:t>
            </w:r>
          </w:p>
        </w:tc>
      </w:tr>
      <w:tr w:rsidR="00FA55B5" w:rsidRPr="00A9522D" w:rsidTr="00995DEF">
        <w:tc>
          <w:tcPr>
            <w:tcW w:w="3652" w:type="dxa"/>
            <w:tcBorders>
              <w:top w:val="nil"/>
              <w:left w:val="nil"/>
              <w:bottom w:val="nil"/>
              <w:right w:val="nil"/>
            </w:tcBorders>
          </w:tcPr>
          <w:p w:rsidR="00FA55B5" w:rsidRPr="00A9522D" w:rsidRDefault="00FA55B5" w:rsidP="00995DEF">
            <w:pPr>
              <w:autoSpaceDE w:val="0"/>
              <w:autoSpaceDN w:val="0"/>
              <w:adjustRightInd w:val="0"/>
            </w:pPr>
          </w:p>
        </w:tc>
        <w:tc>
          <w:tcPr>
            <w:tcW w:w="3402" w:type="dxa"/>
            <w:tcBorders>
              <w:top w:val="nil"/>
              <w:left w:val="nil"/>
              <w:bottom w:val="nil"/>
              <w:right w:val="nil"/>
            </w:tcBorders>
          </w:tcPr>
          <w:p w:rsidR="00FA55B5" w:rsidRPr="00A9522D" w:rsidRDefault="00FA55B5" w:rsidP="00995DEF">
            <w:pPr>
              <w:autoSpaceDE w:val="0"/>
              <w:autoSpaceDN w:val="0"/>
              <w:adjustRightInd w:val="0"/>
              <w:jc w:val="center"/>
            </w:pPr>
            <w:r w:rsidRPr="00A9522D">
              <w:t>(0.0204)</w:t>
            </w:r>
          </w:p>
        </w:tc>
      </w:tr>
      <w:tr w:rsidR="00FA55B5" w:rsidRPr="00A9522D" w:rsidTr="00995DEF">
        <w:tc>
          <w:tcPr>
            <w:tcW w:w="3652" w:type="dxa"/>
            <w:tcBorders>
              <w:top w:val="nil"/>
              <w:left w:val="nil"/>
              <w:bottom w:val="nil"/>
              <w:right w:val="nil"/>
            </w:tcBorders>
          </w:tcPr>
          <w:p w:rsidR="00FA55B5" w:rsidRPr="00A9522D" w:rsidRDefault="00FA55B5" w:rsidP="00995DEF">
            <w:pPr>
              <w:autoSpaceDE w:val="0"/>
              <w:autoSpaceDN w:val="0"/>
              <w:adjustRightInd w:val="0"/>
            </w:pPr>
          </w:p>
        </w:tc>
        <w:tc>
          <w:tcPr>
            <w:tcW w:w="3402" w:type="dxa"/>
            <w:tcBorders>
              <w:top w:val="nil"/>
              <w:left w:val="nil"/>
              <w:bottom w:val="nil"/>
              <w:right w:val="nil"/>
            </w:tcBorders>
          </w:tcPr>
          <w:p w:rsidR="00FA55B5" w:rsidRPr="00A9522D" w:rsidRDefault="00FA55B5" w:rsidP="00995DEF">
            <w:pPr>
              <w:autoSpaceDE w:val="0"/>
              <w:autoSpaceDN w:val="0"/>
              <w:adjustRightInd w:val="0"/>
            </w:pPr>
          </w:p>
        </w:tc>
      </w:tr>
      <w:tr w:rsidR="00FA55B5" w:rsidRPr="00A9522D" w:rsidTr="00995DEF">
        <w:tc>
          <w:tcPr>
            <w:tcW w:w="3652" w:type="dxa"/>
            <w:tcBorders>
              <w:top w:val="nil"/>
              <w:left w:val="nil"/>
              <w:bottom w:val="nil"/>
              <w:right w:val="nil"/>
            </w:tcBorders>
          </w:tcPr>
          <w:p w:rsidR="00FA55B5" w:rsidRPr="00A9522D" w:rsidRDefault="00FA55B5" w:rsidP="00995DEF">
            <w:pPr>
              <w:autoSpaceDE w:val="0"/>
              <w:autoSpaceDN w:val="0"/>
              <w:adjustRightInd w:val="0"/>
            </w:pPr>
            <w:r w:rsidRPr="00A9522D">
              <w:t>ROE</w:t>
            </w:r>
          </w:p>
        </w:tc>
        <w:tc>
          <w:tcPr>
            <w:tcW w:w="3402" w:type="dxa"/>
            <w:tcBorders>
              <w:top w:val="nil"/>
              <w:left w:val="nil"/>
              <w:bottom w:val="nil"/>
              <w:right w:val="nil"/>
            </w:tcBorders>
          </w:tcPr>
          <w:p w:rsidR="00FA55B5" w:rsidRPr="00A9522D" w:rsidRDefault="00FA55B5" w:rsidP="00995DEF">
            <w:pPr>
              <w:autoSpaceDE w:val="0"/>
              <w:autoSpaceDN w:val="0"/>
              <w:adjustRightInd w:val="0"/>
              <w:jc w:val="center"/>
            </w:pPr>
            <w:r w:rsidRPr="00A9522D">
              <w:t>-0.000396</w:t>
            </w:r>
          </w:p>
        </w:tc>
      </w:tr>
      <w:tr w:rsidR="00FA55B5" w:rsidRPr="00A9522D" w:rsidTr="00995DEF">
        <w:tc>
          <w:tcPr>
            <w:tcW w:w="3652" w:type="dxa"/>
            <w:tcBorders>
              <w:top w:val="nil"/>
              <w:left w:val="nil"/>
              <w:bottom w:val="nil"/>
              <w:right w:val="nil"/>
            </w:tcBorders>
          </w:tcPr>
          <w:p w:rsidR="00FA55B5" w:rsidRPr="00A9522D" w:rsidRDefault="00FA55B5" w:rsidP="00995DEF">
            <w:pPr>
              <w:autoSpaceDE w:val="0"/>
              <w:autoSpaceDN w:val="0"/>
              <w:adjustRightInd w:val="0"/>
            </w:pPr>
          </w:p>
        </w:tc>
        <w:tc>
          <w:tcPr>
            <w:tcW w:w="3402" w:type="dxa"/>
            <w:tcBorders>
              <w:top w:val="nil"/>
              <w:left w:val="nil"/>
              <w:bottom w:val="nil"/>
              <w:right w:val="nil"/>
            </w:tcBorders>
          </w:tcPr>
          <w:p w:rsidR="00FA55B5" w:rsidRPr="00A9522D" w:rsidRDefault="00FA55B5" w:rsidP="00995DEF">
            <w:pPr>
              <w:autoSpaceDE w:val="0"/>
              <w:autoSpaceDN w:val="0"/>
              <w:adjustRightInd w:val="0"/>
              <w:jc w:val="center"/>
            </w:pPr>
            <w:r w:rsidRPr="00A9522D">
              <w:t>(0.00668)</w:t>
            </w:r>
          </w:p>
        </w:tc>
      </w:tr>
      <w:tr w:rsidR="00FA55B5" w:rsidRPr="00A9522D" w:rsidTr="00995DEF">
        <w:tc>
          <w:tcPr>
            <w:tcW w:w="3652" w:type="dxa"/>
            <w:tcBorders>
              <w:top w:val="nil"/>
              <w:left w:val="nil"/>
              <w:bottom w:val="nil"/>
              <w:right w:val="nil"/>
            </w:tcBorders>
          </w:tcPr>
          <w:p w:rsidR="00FA55B5" w:rsidRPr="00A9522D" w:rsidRDefault="00FA55B5" w:rsidP="00995DEF">
            <w:pPr>
              <w:autoSpaceDE w:val="0"/>
              <w:autoSpaceDN w:val="0"/>
              <w:adjustRightInd w:val="0"/>
            </w:pPr>
          </w:p>
        </w:tc>
        <w:tc>
          <w:tcPr>
            <w:tcW w:w="3402" w:type="dxa"/>
            <w:tcBorders>
              <w:top w:val="nil"/>
              <w:left w:val="nil"/>
              <w:bottom w:val="nil"/>
              <w:right w:val="nil"/>
            </w:tcBorders>
          </w:tcPr>
          <w:p w:rsidR="00FA55B5" w:rsidRPr="00A9522D" w:rsidRDefault="00FA55B5" w:rsidP="00995DEF">
            <w:pPr>
              <w:autoSpaceDE w:val="0"/>
              <w:autoSpaceDN w:val="0"/>
              <w:adjustRightInd w:val="0"/>
            </w:pPr>
          </w:p>
        </w:tc>
      </w:tr>
      <w:tr w:rsidR="00FA55B5" w:rsidRPr="00A9522D" w:rsidTr="00995DEF">
        <w:tc>
          <w:tcPr>
            <w:tcW w:w="3652" w:type="dxa"/>
            <w:tcBorders>
              <w:top w:val="nil"/>
              <w:left w:val="nil"/>
              <w:bottom w:val="nil"/>
              <w:right w:val="nil"/>
            </w:tcBorders>
          </w:tcPr>
          <w:p w:rsidR="00FA55B5" w:rsidRPr="00A9522D" w:rsidRDefault="00FA55B5" w:rsidP="00995DEF">
            <w:pPr>
              <w:autoSpaceDE w:val="0"/>
              <w:autoSpaceDN w:val="0"/>
              <w:adjustRightInd w:val="0"/>
            </w:pPr>
            <w:r w:rsidRPr="00A9522D">
              <w:t>Ln (Market Value)</w:t>
            </w:r>
          </w:p>
        </w:tc>
        <w:tc>
          <w:tcPr>
            <w:tcW w:w="3402" w:type="dxa"/>
            <w:tcBorders>
              <w:top w:val="nil"/>
              <w:left w:val="nil"/>
              <w:bottom w:val="nil"/>
              <w:right w:val="nil"/>
            </w:tcBorders>
          </w:tcPr>
          <w:p w:rsidR="00FA55B5" w:rsidRPr="00A9522D" w:rsidRDefault="00FA55B5" w:rsidP="00995DEF">
            <w:pPr>
              <w:autoSpaceDE w:val="0"/>
              <w:autoSpaceDN w:val="0"/>
              <w:adjustRightInd w:val="0"/>
              <w:jc w:val="center"/>
            </w:pPr>
            <w:r w:rsidRPr="00A9522D">
              <w:t>-0.0119</w:t>
            </w:r>
          </w:p>
        </w:tc>
      </w:tr>
      <w:tr w:rsidR="00FA55B5" w:rsidRPr="00A9522D" w:rsidTr="00995DEF">
        <w:tc>
          <w:tcPr>
            <w:tcW w:w="3652" w:type="dxa"/>
            <w:tcBorders>
              <w:top w:val="nil"/>
              <w:left w:val="nil"/>
              <w:bottom w:val="nil"/>
              <w:right w:val="nil"/>
            </w:tcBorders>
          </w:tcPr>
          <w:p w:rsidR="00FA55B5" w:rsidRPr="00A9522D" w:rsidRDefault="00FA55B5" w:rsidP="00995DEF">
            <w:pPr>
              <w:autoSpaceDE w:val="0"/>
              <w:autoSpaceDN w:val="0"/>
              <w:adjustRightInd w:val="0"/>
            </w:pPr>
          </w:p>
        </w:tc>
        <w:tc>
          <w:tcPr>
            <w:tcW w:w="3402" w:type="dxa"/>
            <w:tcBorders>
              <w:top w:val="nil"/>
              <w:left w:val="nil"/>
              <w:bottom w:val="nil"/>
              <w:right w:val="nil"/>
            </w:tcBorders>
          </w:tcPr>
          <w:p w:rsidR="00FA55B5" w:rsidRPr="00A9522D" w:rsidRDefault="00FA55B5" w:rsidP="00995DEF">
            <w:pPr>
              <w:autoSpaceDE w:val="0"/>
              <w:autoSpaceDN w:val="0"/>
              <w:adjustRightInd w:val="0"/>
              <w:jc w:val="center"/>
            </w:pPr>
            <w:r w:rsidRPr="00A9522D">
              <w:t>(0.0131)</w:t>
            </w:r>
          </w:p>
        </w:tc>
      </w:tr>
      <w:tr w:rsidR="00FA55B5" w:rsidRPr="00A9522D" w:rsidTr="00995DEF">
        <w:tc>
          <w:tcPr>
            <w:tcW w:w="3652" w:type="dxa"/>
            <w:tcBorders>
              <w:top w:val="nil"/>
              <w:left w:val="nil"/>
              <w:bottom w:val="nil"/>
              <w:right w:val="nil"/>
            </w:tcBorders>
          </w:tcPr>
          <w:p w:rsidR="00FA55B5" w:rsidRPr="00A9522D" w:rsidRDefault="00FA55B5" w:rsidP="00995DEF">
            <w:pPr>
              <w:autoSpaceDE w:val="0"/>
              <w:autoSpaceDN w:val="0"/>
              <w:adjustRightInd w:val="0"/>
            </w:pPr>
          </w:p>
        </w:tc>
        <w:tc>
          <w:tcPr>
            <w:tcW w:w="3402" w:type="dxa"/>
            <w:tcBorders>
              <w:top w:val="nil"/>
              <w:left w:val="nil"/>
              <w:bottom w:val="nil"/>
              <w:right w:val="nil"/>
            </w:tcBorders>
          </w:tcPr>
          <w:p w:rsidR="00FA55B5" w:rsidRPr="00A9522D" w:rsidRDefault="00FA55B5" w:rsidP="00995DEF">
            <w:pPr>
              <w:autoSpaceDE w:val="0"/>
              <w:autoSpaceDN w:val="0"/>
              <w:adjustRightInd w:val="0"/>
            </w:pPr>
          </w:p>
        </w:tc>
      </w:tr>
      <w:tr w:rsidR="00FA55B5" w:rsidRPr="00A9522D" w:rsidTr="00995DEF">
        <w:tc>
          <w:tcPr>
            <w:tcW w:w="3652" w:type="dxa"/>
            <w:tcBorders>
              <w:top w:val="nil"/>
              <w:left w:val="nil"/>
              <w:bottom w:val="nil"/>
              <w:right w:val="nil"/>
            </w:tcBorders>
          </w:tcPr>
          <w:p w:rsidR="00FA55B5" w:rsidRPr="00A9522D" w:rsidRDefault="00FA55B5" w:rsidP="00995DEF">
            <w:pPr>
              <w:autoSpaceDE w:val="0"/>
              <w:autoSpaceDN w:val="0"/>
              <w:adjustRightInd w:val="0"/>
            </w:pPr>
            <w:r w:rsidRPr="00A9522D">
              <w:t>Debt</w:t>
            </w:r>
          </w:p>
        </w:tc>
        <w:tc>
          <w:tcPr>
            <w:tcW w:w="3402" w:type="dxa"/>
            <w:tcBorders>
              <w:top w:val="nil"/>
              <w:left w:val="nil"/>
              <w:bottom w:val="nil"/>
              <w:right w:val="nil"/>
            </w:tcBorders>
          </w:tcPr>
          <w:p w:rsidR="00FA55B5" w:rsidRPr="00A9522D" w:rsidRDefault="00FA55B5" w:rsidP="00995DEF">
            <w:pPr>
              <w:autoSpaceDE w:val="0"/>
              <w:autoSpaceDN w:val="0"/>
              <w:adjustRightInd w:val="0"/>
              <w:jc w:val="center"/>
            </w:pPr>
            <w:r w:rsidRPr="00A9522D">
              <w:t>0.0232</w:t>
            </w:r>
            <w:r w:rsidRPr="00A9522D">
              <w:rPr>
                <w:vertAlign w:val="superscript"/>
              </w:rPr>
              <w:t>*</w:t>
            </w:r>
          </w:p>
        </w:tc>
      </w:tr>
      <w:tr w:rsidR="00FA55B5" w:rsidRPr="00A9522D" w:rsidTr="00995DEF">
        <w:tc>
          <w:tcPr>
            <w:tcW w:w="3652" w:type="dxa"/>
            <w:tcBorders>
              <w:top w:val="nil"/>
              <w:left w:val="nil"/>
              <w:bottom w:val="nil"/>
              <w:right w:val="nil"/>
            </w:tcBorders>
          </w:tcPr>
          <w:p w:rsidR="00FA55B5" w:rsidRPr="00A9522D" w:rsidRDefault="00FA55B5" w:rsidP="00995DEF">
            <w:pPr>
              <w:autoSpaceDE w:val="0"/>
              <w:autoSpaceDN w:val="0"/>
              <w:adjustRightInd w:val="0"/>
            </w:pPr>
          </w:p>
        </w:tc>
        <w:tc>
          <w:tcPr>
            <w:tcW w:w="3402" w:type="dxa"/>
            <w:tcBorders>
              <w:top w:val="nil"/>
              <w:left w:val="nil"/>
              <w:bottom w:val="nil"/>
              <w:right w:val="nil"/>
            </w:tcBorders>
          </w:tcPr>
          <w:p w:rsidR="00FA55B5" w:rsidRPr="00A9522D" w:rsidRDefault="00FA55B5" w:rsidP="00995DEF">
            <w:pPr>
              <w:autoSpaceDE w:val="0"/>
              <w:autoSpaceDN w:val="0"/>
              <w:adjustRightInd w:val="0"/>
              <w:jc w:val="center"/>
            </w:pPr>
            <w:r w:rsidRPr="00A9522D">
              <w:t>(0.00958)</w:t>
            </w:r>
          </w:p>
        </w:tc>
      </w:tr>
      <w:tr w:rsidR="00FA55B5" w:rsidRPr="00A9522D" w:rsidTr="00995DEF">
        <w:tc>
          <w:tcPr>
            <w:tcW w:w="3652" w:type="dxa"/>
            <w:tcBorders>
              <w:top w:val="nil"/>
              <w:left w:val="nil"/>
              <w:bottom w:val="nil"/>
              <w:right w:val="nil"/>
            </w:tcBorders>
          </w:tcPr>
          <w:p w:rsidR="00FA55B5" w:rsidRPr="00A9522D" w:rsidRDefault="00FA55B5" w:rsidP="00995DEF">
            <w:pPr>
              <w:autoSpaceDE w:val="0"/>
              <w:autoSpaceDN w:val="0"/>
              <w:adjustRightInd w:val="0"/>
            </w:pPr>
          </w:p>
        </w:tc>
        <w:tc>
          <w:tcPr>
            <w:tcW w:w="3402" w:type="dxa"/>
            <w:tcBorders>
              <w:top w:val="nil"/>
              <w:left w:val="nil"/>
              <w:bottom w:val="nil"/>
              <w:right w:val="nil"/>
            </w:tcBorders>
          </w:tcPr>
          <w:p w:rsidR="00FA55B5" w:rsidRPr="00A9522D" w:rsidRDefault="00FA55B5" w:rsidP="00995DEF">
            <w:pPr>
              <w:autoSpaceDE w:val="0"/>
              <w:autoSpaceDN w:val="0"/>
              <w:adjustRightInd w:val="0"/>
            </w:pPr>
          </w:p>
        </w:tc>
      </w:tr>
      <w:tr w:rsidR="00FA55B5" w:rsidRPr="00A9522D" w:rsidTr="00995DEF">
        <w:tc>
          <w:tcPr>
            <w:tcW w:w="3652" w:type="dxa"/>
            <w:tcBorders>
              <w:top w:val="nil"/>
              <w:left w:val="nil"/>
              <w:bottom w:val="nil"/>
              <w:right w:val="nil"/>
            </w:tcBorders>
          </w:tcPr>
          <w:p w:rsidR="00FA55B5" w:rsidRPr="00A9522D" w:rsidRDefault="00FA55B5" w:rsidP="00995DEF">
            <w:pPr>
              <w:autoSpaceDE w:val="0"/>
              <w:autoSpaceDN w:val="0"/>
              <w:adjustRightInd w:val="0"/>
            </w:pPr>
            <w:r w:rsidRPr="00A9522D">
              <w:t>Ownership</w:t>
            </w:r>
          </w:p>
        </w:tc>
        <w:tc>
          <w:tcPr>
            <w:tcW w:w="3402" w:type="dxa"/>
            <w:tcBorders>
              <w:top w:val="nil"/>
              <w:left w:val="nil"/>
              <w:bottom w:val="nil"/>
              <w:right w:val="nil"/>
            </w:tcBorders>
          </w:tcPr>
          <w:p w:rsidR="00FA55B5" w:rsidRPr="00A9522D" w:rsidRDefault="00FA55B5" w:rsidP="00995DEF">
            <w:pPr>
              <w:autoSpaceDE w:val="0"/>
              <w:autoSpaceDN w:val="0"/>
              <w:adjustRightInd w:val="0"/>
              <w:jc w:val="center"/>
            </w:pPr>
            <w:r w:rsidRPr="00A9522D">
              <w:t>-0.0217</w:t>
            </w:r>
          </w:p>
        </w:tc>
      </w:tr>
      <w:tr w:rsidR="00FA55B5" w:rsidRPr="00A9522D" w:rsidTr="00995DEF">
        <w:tc>
          <w:tcPr>
            <w:tcW w:w="3652" w:type="dxa"/>
            <w:tcBorders>
              <w:top w:val="nil"/>
              <w:left w:val="nil"/>
              <w:bottom w:val="nil"/>
              <w:right w:val="nil"/>
            </w:tcBorders>
          </w:tcPr>
          <w:p w:rsidR="00FA55B5" w:rsidRPr="00A9522D" w:rsidRDefault="00FA55B5" w:rsidP="00995DEF">
            <w:pPr>
              <w:autoSpaceDE w:val="0"/>
              <w:autoSpaceDN w:val="0"/>
              <w:adjustRightInd w:val="0"/>
            </w:pPr>
          </w:p>
        </w:tc>
        <w:tc>
          <w:tcPr>
            <w:tcW w:w="3402" w:type="dxa"/>
            <w:tcBorders>
              <w:top w:val="nil"/>
              <w:left w:val="nil"/>
              <w:bottom w:val="nil"/>
              <w:right w:val="nil"/>
            </w:tcBorders>
          </w:tcPr>
          <w:p w:rsidR="00FA55B5" w:rsidRPr="00A9522D" w:rsidRDefault="00FA55B5" w:rsidP="00995DEF">
            <w:pPr>
              <w:autoSpaceDE w:val="0"/>
              <w:autoSpaceDN w:val="0"/>
              <w:adjustRightInd w:val="0"/>
              <w:jc w:val="center"/>
            </w:pPr>
            <w:r w:rsidRPr="00A9522D">
              <w:t>(0.0156)</w:t>
            </w:r>
          </w:p>
        </w:tc>
      </w:tr>
      <w:tr w:rsidR="00FA55B5" w:rsidRPr="00A9522D" w:rsidTr="00995DEF">
        <w:tc>
          <w:tcPr>
            <w:tcW w:w="3652" w:type="dxa"/>
            <w:tcBorders>
              <w:top w:val="nil"/>
              <w:left w:val="nil"/>
              <w:bottom w:val="nil"/>
              <w:right w:val="nil"/>
            </w:tcBorders>
          </w:tcPr>
          <w:p w:rsidR="00FA55B5" w:rsidRPr="00A9522D" w:rsidRDefault="00FA55B5" w:rsidP="00995DEF">
            <w:pPr>
              <w:autoSpaceDE w:val="0"/>
              <w:autoSpaceDN w:val="0"/>
              <w:adjustRightInd w:val="0"/>
            </w:pPr>
          </w:p>
        </w:tc>
        <w:tc>
          <w:tcPr>
            <w:tcW w:w="3402" w:type="dxa"/>
            <w:tcBorders>
              <w:top w:val="nil"/>
              <w:left w:val="nil"/>
              <w:bottom w:val="nil"/>
              <w:right w:val="nil"/>
            </w:tcBorders>
          </w:tcPr>
          <w:p w:rsidR="00FA55B5" w:rsidRPr="00A9522D" w:rsidRDefault="00FA55B5" w:rsidP="00995DEF">
            <w:pPr>
              <w:autoSpaceDE w:val="0"/>
              <w:autoSpaceDN w:val="0"/>
              <w:adjustRightInd w:val="0"/>
            </w:pPr>
          </w:p>
        </w:tc>
      </w:tr>
      <w:tr w:rsidR="00FA55B5" w:rsidRPr="00A9522D" w:rsidTr="00995DEF">
        <w:tc>
          <w:tcPr>
            <w:tcW w:w="3652" w:type="dxa"/>
            <w:tcBorders>
              <w:top w:val="nil"/>
              <w:left w:val="nil"/>
              <w:bottom w:val="nil"/>
              <w:right w:val="nil"/>
            </w:tcBorders>
          </w:tcPr>
          <w:p w:rsidR="00FA55B5" w:rsidRPr="00A9522D" w:rsidRDefault="00FA55B5" w:rsidP="00995DEF">
            <w:pPr>
              <w:autoSpaceDE w:val="0"/>
              <w:autoSpaceDN w:val="0"/>
              <w:adjustRightInd w:val="0"/>
            </w:pPr>
            <w:r w:rsidRPr="00A9522D">
              <w:t>Gross Revenue(Billion)</w:t>
            </w:r>
          </w:p>
        </w:tc>
        <w:tc>
          <w:tcPr>
            <w:tcW w:w="3402" w:type="dxa"/>
            <w:tcBorders>
              <w:top w:val="nil"/>
              <w:left w:val="nil"/>
              <w:bottom w:val="nil"/>
              <w:right w:val="nil"/>
            </w:tcBorders>
          </w:tcPr>
          <w:p w:rsidR="00FA55B5" w:rsidRPr="00A9522D" w:rsidRDefault="00FA55B5" w:rsidP="00995DEF">
            <w:pPr>
              <w:autoSpaceDE w:val="0"/>
              <w:autoSpaceDN w:val="0"/>
              <w:adjustRightInd w:val="0"/>
              <w:jc w:val="center"/>
            </w:pPr>
            <w:r w:rsidRPr="00A9522D">
              <w:t>0.000624</w:t>
            </w:r>
            <w:r w:rsidRPr="00A9522D">
              <w:rPr>
                <w:vertAlign w:val="superscript"/>
              </w:rPr>
              <w:t>**</w:t>
            </w:r>
          </w:p>
        </w:tc>
      </w:tr>
      <w:tr w:rsidR="00FA55B5" w:rsidRPr="00A9522D" w:rsidTr="00995DEF">
        <w:tc>
          <w:tcPr>
            <w:tcW w:w="3652" w:type="dxa"/>
            <w:tcBorders>
              <w:top w:val="nil"/>
              <w:left w:val="nil"/>
              <w:bottom w:val="nil"/>
              <w:right w:val="nil"/>
            </w:tcBorders>
          </w:tcPr>
          <w:p w:rsidR="00FA55B5" w:rsidRPr="00A9522D" w:rsidRDefault="00FA55B5" w:rsidP="00995DEF">
            <w:pPr>
              <w:autoSpaceDE w:val="0"/>
              <w:autoSpaceDN w:val="0"/>
              <w:adjustRightInd w:val="0"/>
            </w:pPr>
          </w:p>
        </w:tc>
        <w:tc>
          <w:tcPr>
            <w:tcW w:w="3402" w:type="dxa"/>
            <w:tcBorders>
              <w:top w:val="nil"/>
              <w:left w:val="nil"/>
              <w:bottom w:val="nil"/>
              <w:right w:val="nil"/>
            </w:tcBorders>
          </w:tcPr>
          <w:p w:rsidR="00FA55B5" w:rsidRPr="00A9522D" w:rsidRDefault="00FA55B5" w:rsidP="00995DEF">
            <w:pPr>
              <w:autoSpaceDE w:val="0"/>
              <w:autoSpaceDN w:val="0"/>
              <w:adjustRightInd w:val="0"/>
              <w:jc w:val="center"/>
            </w:pPr>
            <w:r w:rsidRPr="00A9522D">
              <w:t>(0.000233)</w:t>
            </w:r>
          </w:p>
        </w:tc>
      </w:tr>
      <w:tr w:rsidR="00FA55B5" w:rsidRPr="00A9522D" w:rsidTr="00995DEF">
        <w:tc>
          <w:tcPr>
            <w:tcW w:w="3652" w:type="dxa"/>
            <w:tcBorders>
              <w:top w:val="nil"/>
              <w:left w:val="nil"/>
              <w:bottom w:val="nil"/>
              <w:right w:val="nil"/>
            </w:tcBorders>
          </w:tcPr>
          <w:p w:rsidR="00FA55B5" w:rsidRPr="00A9522D" w:rsidRDefault="00FA55B5" w:rsidP="00995DEF">
            <w:pPr>
              <w:autoSpaceDE w:val="0"/>
              <w:autoSpaceDN w:val="0"/>
              <w:adjustRightInd w:val="0"/>
            </w:pPr>
          </w:p>
        </w:tc>
        <w:tc>
          <w:tcPr>
            <w:tcW w:w="3402" w:type="dxa"/>
            <w:tcBorders>
              <w:top w:val="nil"/>
              <w:left w:val="nil"/>
              <w:bottom w:val="nil"/>
              <w:right w:val="nil"/>
            </w:tcBorders>
          </w:tcPr>
          <w:p w:rsidR="00FA55B5" w:rsidRPr="00A9522D" w:rsidRDefault="00FA55B5" w:rsidP="00995DEF">
            <w:pPr>
              <w:autoSpaceDE w:val="0"/>
              <w:autoSpaceDN w:val="0"/>
              <w:adjustRightInd w:val="0"/>
            </w:pPr>
          </w:p>
        </w:tc>
      </w:tr>
      <w:tr w:rsidR="00FA55B5" w:rsidRPr="00A9522D" w:rsidTr="00995DEF">
        <w:tc>
          <w:tcPr>
            <w:tcW w:w="3652" w:type="dxa"/>
            <w:tcBorders>
              <w:top w:val="nil"/>
              <w:left w:val="nil"/>
              <w:bottom w:val="nil"/>
              <w:right w:val="nil"/>
            </w:tcBorders>
          </w:tcPr>
          <w:p w:rsidR="00FA55B5" w:rsidRPr="00A9522D" w:rsidRDefault="00FA55B5" w:rsidP="00995DEF">
            <w:pPr>
              <w:autoSpaceDE w:val="0"/>
              <w:autoSpaceDN w:val="0"/>
              <w:adjustRightInd w:val="0"/>
            </w:pPr>
            <w:r w:rsidRPr="00A9522D">
              <w:t>Lag(Industry Abnormal Return)</w:t>
            </w:r>
          </w:p>
        </w:tc>
        <w:tc>
          <w:tcPr>
            <w:tcW w:w="3402" w:type="dxa"/>
            <w:tcBorders>
              <w:top w:val="nil"/>
              <w:left w:val="nil"/>
              <w:bottom w:val="nil"/>
              <w:right w:val="nil"/>
            </w:tcBorders>
          </w:tcPr>
          <w:p w:rsidR="00FA55B5" w:rsidRPr="00A9522D" w:rsidRDefault="00FA55B5" w:rsidP="00995DEF">
            <w:pPr>
              <w:autoSpaceDE w:val="0"/>
              <w:autoSpaceDN w:val="0"/>
              <w:adjustRightInd w:val="0"/>
              <w:jc w:val="center"/>
            </w:pPr>
            <w:r w:rsidRPr="00A9522D">
              <w:t>-0.0437</w:t>
            </w:r>
          </w:p>
        </w:tc>
      </w:tr>
      <w:tr w:rsidR="00FA55B5" w:rsidRPr="00A9522D" w:rsidTr="00995DEF">
        <w:tc>
          <w:tcPr>
            <w:tcW w:w="3652" w:type="dxa"/>
            <w:tcBorders>
              <w:top w:val="nil"/>
              <w:left w:val="nil"/>
              <w:bottom w:val="nil"/>
              <w:right w:val="nil"/>
            </w:tcBorders>
          </w:tcPr>
          <w:p w:rsidR="00FA55B5" w:rsidRPr="00A9522D" w:rsidRDefault="00FA55B5" w:rsidP="00995DEF">
            <w:pPr>
              <w:autoSpaceDE w:val="0"/>
              <w:autoSpaceDN w:val="0"/>
              <w:adjustRightInd w:val="0"/>
            </w:pPr>
          </w:p>
        </w:tc>
        <w:tc>
          <w:tcPr>
            <w:tcW w:w="3402" w:type="dxa"/>
            <w:tcBorders>
              <w:top w:val="nil"/>
              <w:left w:val="nil"/>
              <w:bottom w:val="nil"/>
              <w:right w:val="nil"/>
            </w:tcBorders>
          </w:tcPr>
          <w:p w:rsidR="00FA55B5" w:rsidRPr="00A9522D" w:rsidRDefault="00FA55B5" w:rsidP="00995DEF">
            <w:pPr>
              <w:autoSpaceDE w:val="0"/>
              <w:autoSpaceDN w:val="0"/>
              <w:adjustRightInd w:val="0"/>
              <w:jc w:val="center"/>
            </w:pPr>
            <w:r w:rsidRPr="00A9522D">
              <w:t>(0.0274)</w:t>
            </w:r>
          </w:p>
        </w:tc>
      </w:tr>
      <w:tr w:rsidR="00FA55B5" w:rsidRPr="00A9522D" w:rsidTr="00995DEF">
        <w:tc>
          <w:tcPr>
            <w:tcW w:w="3652" w:type="dxa"/>
            <w:tcBorders>
              <w:top w:val="nil"/>
              <w:left w:val="nil"/>
              <w:bottom w:val="nil"/>
              <w:right w:val="nil"/>
            </w:tcBorders>
          </w:tcPr>
          <w:p w:rsidR="00FA55B5" w:rsidRPr="00A9522D" w:rsidRDefault="00FA55B5" w:rsidP="00995DEF">
            <w:pPr>
              <w:autoSpaceDE w:val="0"/>
              <w:autoSpaceDN w:val="0"/>
              <w:adjustRightInd w:val="0"/>
            </w:pPr>
          </w:p>
        </w:tc>
        <w:tc>
          <w:tcPr>
            <w:tcW w:w="3402" w:type="dxa"/>
            <w:tcBorders>
              <w:top w:val="nil"/>
              <w:left w:val="nil"/>
              <w:bottom w:val="nil"/>
              <w:right w:val="nil"/>
            </w:tcBorders>
          </w:tcPr>
          <w:p w:rsidR="00FA55B5" w:rsidRPr="00A9522D" w:rsidRDefault="00FA55B5" w:rsidP="00995DEF">
            <w:pPr>
              <w:autoSpaceDE w:val="0"/>
              <w:autoSpaceDN w:val="0"/>
              <w:adjustRightInd w:val="0"/>
            </w:pPr>
          </w:p>
        </w:tc>
      </w:tr>
      <w:tr w:rsidR="00FA55B5" w:rsidRPr="00A9522D" w:rsidTr="00995DEF">
        <w:tc>
          <w:tcPr>
            <w:tcW w:w="3652" w:type="dxa"/>
            <w:tcBorders>
              <w:top w:val="nil"/>
              <w:left w:val="nil"/>
              <w:bottom w:val="nil"/>
              <w:right w:val="nil"/>
            </w:tcBorders>
          </w:tcPr>
          <w:p w:rsidR="00FA55B5" w:rsidRPr="00A9522D" w:rsidRDefault="00FA55B5" w:rsidP="00995DEF">
            <w:pPr>
              <w:autoSpaceDE w:val="0"/>
              <w:autoSpaceDN w:val="0"/>
              <w:adjustRightInd w:val="0"/>
            </w:pPr>
            <w:r w:rsidRPr="00A9522D">
              <w:t>Lag(Abnormal Return)</w:t>
            </w:r>
          </w:p>
        </w:tc>
        <w:tc>
          <w:tcPr>
            <w:tcW w:w="3402" w:type="dxa"/>
            <w:tcBorders>
              <w:top w:val="nil"/>
              <w:left w:val="nil"/>
              <w:bottom w:val="nil"/>
              <w:right w:val="nil"/>
            </w:tcBorders>
          </w:tcPr>
          <w:p w:rsidR="00FA55B5" w:rsidRPr="00A9522D" w:rsidRDefault="00FA55B5" w:rsidP="00995DEF">
            <w:pPr>
              <w:autoSpaceDE w:val="0"/>
              <w:autoSpaceDN w:val="0"/>
              <w:adjustRightInd w:val="0"/>
              <w:jc w:val="center"/>
            </w:pPr>
            <w:r w:rsidRPr="00A9522D">
              <w:t>-0.105</w:t>
            </w:r>
            <w:r w:rsidRPr="00A9522D">
              <w:rPr>
                <w:vertAlign w:val="superscript"/>
              </w:rPr>
              <w:t>***</w:t>
            </w:r>
          </w:p>
        </w:tc>
      </w:tr>
      <w:tr w:rsidR="00FA55B5" w:rsidRPr="00A9522D" w:rsidTr="00995DEF">
        <w:tc>
          <w:tcPr>
            <w:tcW w:w="3652" w:type="dxa"/>
            <w:tcBorders>
              <w:top w:val="nil"/>
              <w:left w:val="nil"/>
              <w:bottom w:val="nil"/>
              <w:right w:val="nil"/>
            </w:tcBorders>
          </w:tcPr>
          <w:p w:rsidR="00FA55B5" w:rsidRPr="00A9522D" w:rsidRDefault="00FA55B5" w:rsidP="00995DEF">
            <w:pPr>
              <w:autoSpaceDE w:val="0"/>
              <w:autoSpaceDN w:val="0"/>
              <w:adjustRightInd w:val="0"/>
            </w:pPr>
          </w:p>
        </w:tc>
        <w:tc>
          <w:tcPr>
            <w:tcW w:w="3402" w:type="dxa"/>
            <w:tcBorders>
              <w:top w:val="nil"/>
              <w:left w:val="nil"/>
              <w:bottom w:val="nil"/>
              <w:right w:val="nil"/>
            </w:tcBorders>
          </w:tcPr>
          <w:p w:rsidR="00FA55B5" w:rsidRPr="00A9522D" w:rsidRDefault="00FA55B5" w:rsidP="00995DEF">
            <w:pPr>
              <w:autoSpaceDE w:val="0"/>
              <w:autoSpaceDN w:val="0"/>
              <w:adjustRightInd w:val="0"/>
              <w:jc w:val="center"/>
            </w:pPr>
            <w:r w:rsidRPr="00A9522D">
              <w:t>(0.0271)</w:t>
            </w:r>
          </w:p>
        </w:tc>
      </w:tr>
      <w:tr w:rsidR="00FA55B5" w:rsidRPr="00A9522D" w:rsidTr="00995DEF">
        <w:tc>
          <w:tcPr>
            <w:tcW w:w="3652" w:type="dxa"/>
            <w:tcBorders>
              <w:top w:val="nil"/>
              <w:left w:val="nil"/>
              <w:bottom w:val="nil"/>
              <w:right w:val="nil"/>
            </w:tcBorders>
          </w:tcPr>
          <w:p w:rsidR="00FA55B5" w:rsidRPr="00A9522D" w:rsidRDefault="00FA55B5" w:rsidP="00995DEF">
            <w:pPr>
              <w:autoSpaceDE w:val="0"/>
              <w:autoSpaceDN w:val="0"/>
              <w:adjustRightInd w:val="0"/>
            </w:pPr>
          </w:p>
        </w:tc>
        <w:tc>
          <w:tcPr>
            <w:tcW w:w="3402" w:type="dxa"/>
            <w:tcBorders>
              <w:top w:val="nil"/>
              <w:left w:val="nil"/>
              <w:bottom w:val="nil"/>
              <w:right w:val="nil"/>
            </w:tcBorders>
          </w:tcPr>
          <w:p w:rsidR="00FA55B5" w:rsidRPr="00A9522D" w:rsidRDefault="00FA55B5" w:rsidP="00995DEF">
            <w:pPr>
              <w:autoSpaceDE w:val="0"/>
              <w:autoSpaceDN w:val="0"/>
              <w:adjustRightInd w:val="0"/>
            </w:pPr>
          </w:p>
        </w:tc>
      </w:tr>
      <w:tr w:rsidR="00FA55B5" w:rsidRPr="00A9522D" w:rsidTr="00995DEF">
        <w:tc>
          <w:tcPr>
            <w:tcW w:w="3652" w:type="dxa"/>
            <w:tcBorders>
              <w:top w:val="nil"/>
              <w:left w:val="nil"/>
              <w:bottom w:val="nil"/>
              <w:right w:val="nil"/>
            </w:tcBorders>
          </w:tcPr>
          <w:p w:rsidR="00FA55B5" w:rsidRPr="00A9522D" w:rsidRDefault="00FA55B5" w:rsidP="00995DEF">
            <w:pPr>
              <w:autoSpaceDE w:val="0"/>
              <w:autoSpaceDN w:val="0"/>
              <w:adjustRightInd w:val="0"/>
            </w:pPr>
            <w:r w:rsidRPr="00A9522D">
              <w:t>Lag(Ln Market Value)</w:t>
            </w:r>
          </w:p>
        </w:tc>
        <w:tc>
          <w:tcPr>
            <w:tcW w:w="3402" w:type="dxa"/>
            <w:tcBorders>
              <w:top w:val="nil"/>
              <w:left w:val="nil"/>
              <w:bottom w:val="nil"/>
              <w:right w:val="nil"/>
            </w:tcBorders>
          </w:tcPr>
          <w:p w:rsidR="00FA55B5" w:rsidRPr="00A9522D" w:rsidRDefault="00FA55B5" w:rsidP="00995DEF">
            <w:pPr>
              <w:autoSpaceDE w:val="0"/>
              <w:autoSpaceDN w:val="0"/>
              <w:adjustRightInd w:val="0"/>
              <w:jc w:val="center"/>
            </w:pPr>
            <w:r w:rsidRPr="00A9522D">
              <w:t>0.00269</w:t>
            </w:r>
          </w:p>
        </w:tc>
      </w:tr>
      <w:tr w:rsidR="00FA55B5" w:rsidRPr="00A9522D" w:rsidTr="00995DEF">
        <w:tc>
          <w:tcPr>
            <w:tcW w:w="3652" w:type="dxa"/>
            <w:tcBorders>
              <w:top w:val="nil"/>
              <w:left w:val="nil"/>
              <w:bottom w:val="single" w:sz="4" w:space="0" w:color="auto"/>
              <w:right w:val="nil"/>
            </w:tcBorders>
          </w:tcPr>
          <w:p w:rsidR="00FA55B5" w:rsidRPr="00A9522D" w:rsidRDefault="00FA55B5" w:rsidP="00995DEF">
            <w:pPr>
              <w:autoSpaceDE w:val="0"/>
              <w:autoSpaceDN w:val="0"/>
              <w:adjustRightInd w:val="0"/>
            </w:pPr>
          </w:p>
        </w:tc>
        <w:tc>
          <w:tcPr>
            <w:tcW w:w="3402" w:type="dxa"/>
            <w:tcBorders>
              <w:top w:val="nil"/>
              <w:left w:val="nil"/>
              <w:bottom w:val="single" w:sz="4" w:space="0" w:color="auto"/>
              <w:right w:val="nil"/>
            </w:tcBorders>
          </w:tcPr>
          <w:p w:rsidR="00FA55B5" w:rsidRPr="00A9522D" w:rsidRDefault="00FA55B5" w:rsidP="00995DEF">
            <w:pPr>
              <w:autoSpaceDE w:val="0"/>
              <w:autoSpaceDN w:val="0"/>
              <w:adjustRightInd w:val="0"/>
              <w:jc w:val="center"/>
            </w:pPr>
            <w:r w:rsidRPr="00A9522D">
              <w:t>(0.0134)</w:t>
            </w:r>
          </w:p>
        </w:tc>
      </w:tr>
      <w:tr w:rsidR="00FA55B5" w:rsidRPr="00A9522D" w:rsidTr="00995DEF">
        <w:tc>
          <w:tcPr>
            <w:tcW w:w="3652" w:type="dxa"/>
            <w:tcBorders>
              <w:top w:val="nil"/>
              <w:left w:val="nil"/>
              <w:bottom w:val="single" w:sz="4" w:space="0" w:color="auto"/>
              <w:right w:val="nil"/>
            </w:tcBorders>
          </w:tcPr>
          <w:p w:rsidR="00FA55B5" w:rsidRPr="00A9522D" w:rsidRDefault="00FA55B5" w:rsidP="00995DEF">
            <w:pPr>
              <w:autoSpaceDE w:val="0"/>
              <w:autoSpaceDN w:val="0"/>
              <w:adjustRightInd w:val="0"/>
            </w:pPr>
            <w:r w:rsidRPr="00A9522D">
              <w:rPr>
                <w:i/>
                <w:iCs/>
              </w:rPr>
              <w:t>N</w:t>
            </w:r>
          </w:p>
        </w:tc>
        <w:tc>
          <w:tcPr>
            <w:tcW w:w="3402" w:type="dxa"/>
            <w:tcBorders>
              <w:top w:val="nil"/>
              <w:left w:val="nil"/>
              <w:bottom w:val="single" w:sz="4" w:space="0" w:color="auto"/>
              <w:right w:val="nil"/>
            </w:tcBorders>
          </w:tcPr>
          <w:p w:rsidR="00FA55B5" w:rsidRPr="00A9522D" w:rsidRDefault="00FA55B5" w:rsidP="00995DEF">
            <w:pPr>
              <w:autoSpaceDE w:val="0"/>
              <w:autoSpaceDN w:val="0"/>
              <w:adjustRightInd w:val="0"/>
              <w:jc w:val="center"/>
            </w:pPr>
            <w:r w:rsidRPr="00A9522D">
              <w:t>16413</w:t>
            </w:r>
          </w:p>
        </w:tc>
      </w:tr>
    </w:tbl>
    <w:p w:rsidR="00FA55B5" w:rsidRPr="00A9522D" w:rsidRDefault="00FA55B5" w:rsidP="00FA55B5">
      <w:pPr>
        <w:autoSpaceDE w:val="0"/>
        <w:autoSpaceDN w:val="0"/>
        <w:adjustRightInd w:val="0"/>
      </w:pPr>
      <w:r w:rsidRPr="00A9522D">
        <w:t>Standard errors in parentheses</w:t>
      </w:r>
    </w:p>
    <w:p w:rsidR="00FA55B5" w:rsidRPr="00675D23" w:rsidRDefault="00FA55B5" w:rsidP="00FA55B5">
      <w:pPr>
        <w:autoSpaceDE w:val="0"/>
        <w:autoSpaceDN w:val="0"/>
        <w:adjustRightInd w:val="0"/>
        <w:rPr>
          <w:noProof/>
        </w:rPr>
      </w:pPr>
      <w:r w:rsidRPr="00FA55B5">
        <w:rPr>
          <w:vertAlign w:val="superscript"/>
        </w:rPr>
        <w:t>*</w:t>
      </w:r>
      <w:r w:rsidRPr="00FA55B5">
        <w:rPr>
          <w:i/>
          <w:iCs/>
        </w:rPr>
        <w:t>p</w:t>
      </w:r>
      <w:r w:rsidRPr="00A9522D">
        <w:t xml:space="preserve">&lt; 0.05, </w:t>
      </w:r>
      <w:r w:rsidRPr="00FA55B5">
        <w:rPr>
          <w:vertAlign w:val="superscript"/>
        </w:rPr>
        <w:t>**</w:t>
      </w:r>
      <w:r w:rsidRPr="00FA55B5">
        <w:rPr>
          <w:i/>
          <w:iCs/>
        </w:rPr>
        <w:t>p</w:t>
      </w:r>
      <w:r w:rsidRPr="00A9522D">
        <w:t xml:space="preserve">&lt; 0.01, </w:t>
      </w:r>
      <w:r w:rsidRPr="00FA55B5">
        <w:rPr>
          <w:vertAlign w:val="superscript"/>
        </w:rPr>
        <w:t>***</w:t>
      </w:r>
      <w:r w:rsidRPr="00FA55B5">
        <w:rPr>
          <w:i/>
          <w:iCs/>
        </w:rPr>
        <w:t>p</w:t>
      </w:r>
      <w:r w:rsidRPr="00A9522D">
        <w:t xml:space="preserve">&lt; </w:t>
      </w:r>
      <w:r w:rsidRPr="00675D23">
        <w:rPr>
          <w:noProof/>
        </w:rPr>
        <w:t>0.001</w:t>
      </w:r>
    </w:p>
    <w:p w:rsidR="00FA55B5" w:rsidRDefault="00FA55B5" w:rsidP="00FA55B5">
      <w:pPr>
        <w:pStyle w:val="Default"/>
        <w:spacing w:line="480" w:lineRule="auto"/>
        <w:ind w:left="420"/>
        <w:rPr>
          <w:noProof/>
        </w:rPr>
      </w:pPr>
    </w:p>
    <w:p w:rsidR="00B60B18" w:rsidRDefault="00B60B18" w:rsidP="00FA55B5">
      <w:pPr>
        <w:pStyle w:val="Default"/>
        <w:spacing w:line="480" w:lineRule="auto"/>
        <w:ind w:left="420"/>
        <w:rPr>
          <w:noProof/>
        </w:rPr>
      </w:pPr>
    </w:p>
    <w:p w:rsidR="00B60B18" w:rsidRDefault="00B60B18" w:rsidP="00FA55B5">
      <w:pPr>
        <w:pStyle w:val="Default"/>
        <w:spacing w:line="480" w:lineRule="auto"/>
        <w:ind w:left="420"/>
        <w:rPr>
          <w:noProof/>
        </w:rPr>
      </w:pPr>
    </w:p>
    <w:p w:rsidR="00B60B18" w:rsidRDefault="00B60B18" w:rsidP="00FA55B5">
      <w:pPr>
        <w:pStyle w:val="Default"/>
        <w:spacing w:line="480" w:lineRule="auto"/>
        <w:ind w:left="420"/>
        <w:rPr>
          <w:noProof/>
        </w:rPr>
      </w:pPr>
    </w:p>
    <w:p w:rsidR="00B60B18" w:rsidRDefault="00B60B18" w:rsidP="00FA55B5">
      <w:pPr>
        <w:pStyle w:val="Default"/>
        <w:spacing w:line="480" w:lineRule="auto"/>
        <w:ind w:left="420"/>
        <w:rPr>
          <w:noProof/>
        </w:rPr>
      </w:pPr>
    </w:p>
    <w:p w:rsidR="001E5CBA" w:rsidRPr="00675D23" w:rsidRDefault="001E5CBA" w:rsidP="001E5CBA">
      <w:pPr>
        <w:tabs>
          <w:tab w:val="left" w:pos="860"/>
        </w:tabs>
        <w:rPr>
          <w:noProof/>
          <w:lang w:eastAsia="zh-CN"/>
        </w:rPr>
      </w:pPr>
      <w:r w:rsidRPr="00675D23">
        <w:rPr>
          <w:b/>
          <w:noProof/>
          <w:lang w:eastAsia="zh-CN"/>
        </w:rPr>
        <w:lastRenderedPageBreak/>
        <w:t>TABLE.5 (DESCRIPTION OF VARIABLES)</w:t>
      </w:r>
    </w:p>
    <w:p w:rsidR="001E5CBA" w:rsidRPr="00675D23" w:rsidRDefault="001E5CBA" w:rsidP="001E5CBA">
      <w:pPr>
        <w:jc w:val="center"/>
        <w:rPr>
          <w:b/>
          <w:noProof/>
          <w:lang w:eastAsia="zh-CN"/>
        </w:rPr>
      </w:pPr>
    </w:p>
    <w:tbl>
      <w:tblPr>
        <w:tblStyle w:val="a6"/>
        <w:tblW w:w="9576" w:type="dxa"/>
        <w:tblLayout w:type="fixed"/>
        <w:tblLook w:val="04A0" w:firstRow="1" w:lastRow="0" w:firstColumn="1" w:lastColumn="0" w:noHBand="0" w:noVBand="1"/>
      </w:tblPr>
      <w:tblGrid>
        <w:gridCol w:w="2235"/>
        <w:gridCol w:w="2012"/>
        <w:gridCol w:w="5329"/>
      </w:tblGrid>
      <w:tr w:rsidR="001E5CBA" w:rsidRPr="00A9522D" w:rsidTr="00995DEF">
        <w:trPr>
          <w:trHeight w:val="255"/>
        </w:trPr>
        <w:tc>
          <w:tcPr>
            <w:tcW w:w="2235" w:type="dxa"/>
          </w:tcPr>
          <w:p w:rsidR="001E5CBA" w:rsidRPr="00A9522D" w:rsidRDefault="001E5CBA" w:rsidP="00995DEF">
            <w:pPr>
              <w:jc w:val="center"/>
            </w:pPr>
            <w:r w:rsidRPr="00675D23">
              <w:rPr>
                <w:noProof/>
              </w:rPr>
              <w:t>Variable</w:t>
            </w:r>
            <w:r w:rsidRPr="00A9522D">
              <w:t xml:space="preserve"> </w:t>
            </w:r>
          </w:p>
          <w:p w:rsidR="001E5CBA" w:rsidRPr="00A9522D" w:rsidRDefault="001E5CBA" w:rsidP="00995DEF">
            <w:pPr>
              <w:jc w:val="center"/>
            </w:pPr>
          </w:p>
        </w:tc>
        <w:tc>
          <w:tcPr>
            <w:tcW w:w="2012" w:type="dxa"/>
          </w:tcPr>
          <w:p w:rsidR="001E5CBA" w:rsidRPr="00A9522D" w:rsidRDefault="001E5CBA" w:rsidP="00995DEF">
            <w:pPr>
              <w:ind w:left="114"/>
              <w:jc w:val="center"/>
            </w:pPr>
            <w:r w:rsidRPr="00A9522D">
              <w:t xml:space="preserve">Name </w:t>
            </w:r>
          </w:p>
        </w:tc>
        <w:tc>
          <w:tcPr>
            <w:tcW w:w="5329" w:type="dxa"/>
          </w:tcPr>
          <w:p w:rsidR="001E5CBA" w:rsidRPr="00A9522D" w:rsidRDefault="001E5CBA" w:rsidP="00995DEF">
            <w:pPr>
              <w:jc w:val="center"/>
            </w:pPr>
            <w:r w:rsidRPr="00A9522D">
              <w:t>Definition</w:t>
            </w:r>
          </w:p>
        </w:tc>
      </w:tr>
      <w:tr w:rsidR="001E5CBA" w:rsidRPr="00A9522D" w:rsidTr="00995DEF">
        <w:trPr>
          <w:trHeight w:val="570"/>
        </w:trPr>
        <w:tc>
          <w:tcPr>
            <w:tcW w:w="2235" w:type="dxa"/>
          </w:tcPr>
          <w:p w:rsidR="001E5CBA" w:rsidRPr="00A9522D" w:rsidRDefault="001E5CBA" w:rsidP="00995DEF">
            <w:pPr>
              <w:jc w:val="center"/>
            </w:pPr>
            <w:r w:rsidRPr="00A9522D">
              <w:t>Dependent Variable</w:t>
            </w:r>
          </w:p>
          <w:p w:rsidR="001E5CBA" w:rsidRPr="00A9522D" w:rsidRDefault="001E5CBA" w:rsidP="00995DEF">
            <w:pPr>
              <w:jc w:val="center"/>
            </w:pPr>
          </w:p>
        </w:tc>
        <w:tc>
          <w:tcPr>
            <w:tcW w:w="2012" w:type="dxa"/>
          </w:tcPr>
          <w:p w:rsidR="001E5CBA" w:rsidRPr="00A9522D" w:rsidRDefault="001E5CBA" w:rsidP="00995DEF">
            <w:pPr>
              <w:ind w:left="114"/>
              <w:jc w:val="center"/>
              <w:rPr>
                <w:vertAlign w:val="superscript"/>
              </w:rPr>
            </w:pPr>
            <w:r>
              <w:t xml:space="preserve">ABNORMAL </w:t>
            </w:r>
            <w:proofErr w:type="spellStart"/>
            <w:r>
              <w:t>RETURN</w:t>
            </w:r>
            <w:r w:rsidRPr="00A9522D">
              <w:rPr>
                <w:vertAlign w:val="subscript"/>
              </w:rPr>
              <w:t>it</w:t>
            </w:r>
            <w:r w:rsidRPr="00A9522D">
              <w:rPr>
                <w:vertAlign w:val="superscript"/>
              </w:rPr>
              <w:t>j</w:t>
            </w:r>
            <w:proofErr w:type="spellEnd"/>
          </w:p>
        </w:tc>
        <w:tc>
          <w:tcPr>
            <w:tcW w:w="5329" w:type="dxa"/>
          </w:tcPr>
          <w:p w:rsidR="001E5CBA" w:rsidRPr="00A9522D" w:rsidRDefault="001E5CBA" w:rsidP="00995DEF">
            <w:pPr>
              <w:jc w:val="center"/>
            </w:pPr>
            <w:r w:rsidRPr="00A9522D">
              <w:t xml:space="preserve">Difference of Quarterly Abnormal Return between firm </w:t>
            </w:r>
            <w:proofErr w:type="spellStart"/>
            <w:r w:rsidRPr="00A9522D">
              <w:t>i</w:t>
            </w:r>
            <w:proofErr w:type="spellEnd"/>
            <w:r w:rsidRPr="00A9522D">
              <w:t xml:space="preserve"> and industry j, </w:t>
            </w:r>
            <w:r w:rsidRPr="00675D23">
              <w:rPr>
                <w:noProof/>
              </w:rPr>
              <w:t>time period</w:t>
            </w:r>
            <w:r w:rsidRPr="00A9522D">
              <w:t xml:space="preserve"> t</w:t>
            </w:r>
          </w:p>
        </w:tc>
      </w:tr>
      <w:tr w:rsidR="001E5CBA" w:rsidRPr="00A9522D" w:rsidTr="00995DEF">
        <w:trPr>
          <w:trHeight w:val="562"/>
        </w:trPr>
        <w:tc>
          <w:tcPr>
            <w:tcW w:w="2235" w:type="dxa"/>
          </w:tcPr>
          <w:p w:rsidR="001E5CBA" w:rsidRPr="00A9522D" w:rsidRDefault="001E5CBA" w:rsidP="00995DEF">
            <w:pPr>
              <w:jc w:val="center"/>
              <w:rPr>
                <w:vertAlign w:val="subscript"/>
              </w:rPr>
            </w:pPr>
          </w:p>
          <w:p w:rsidR="001E5CBA" w:rsidRPr="00A9522D" w:rsidRDefault="001E5CBA" w:rsidP="00995DEF">
            <w:pPr>
              <w:jc w:val="center"/>
            </w:pPr>
          </w:p>
          <w:p w:rsidR="001E5CBA" w:rsidRPr="00A9522D" w:rsidRDefault="001E5CBA" w:rsidP="00995DEF">
            <w:pPr>
              <w:jc w:val="center"/>
            </w:pPr>
          </w:p>
          <w:p w:rsidR="001E5CBA" w:rsidRPr="00A9522D" w:rsidRDefault="001E5CBA" w:rsidP="00995DEF">
            <w:pPr>
              <w:jc w:val="center"/>
            </w:pPr>
            <w:r w:rsidRPr="00A9522D">
              <w:t>Independent Variable</w:t>
            </w:r>
          </w:p>
        </w:tc>
        <w:tc>
          <w:tcPr>
            <w:tcW w:w="2012" w:type="dxa"/>
          </w:tcPr>
          <w:p w:rsidR="001E5CBA" w:rsidRPr="00A9522D" w:rsidRDefault="001E5CBA" w:rsidP="00995DEF">
            <w:pPr>
              <w:ind w:left="114"/>
              <w:jc w:val="center"/>
            </w:pPr>
          </w:p>
          <w:p w:rsidR="001E5CBA" w:rsidRPr="00A9522D" w:rsidRDefault="001E5CBA" w:rsidP="00995DEF">
            <w:pPr>
              <w:ind w:left="114"/>
              <w:jc w:val="center"/>
            </w:pPr>
          </w:p>
          <w:p w:rsidR="001E5CBA" w:rsidRPr="00A9522D" w:rsidRDefault="001E5CBA" w:rsidP="00995DEF">
            <w:pPr>
              <w:ind w:left="114"/>
              <w:jc w:val="center"/>
            </w:pPr>
          </w:p>
          <w:p w:rsidR="001E5CBA" w:rsidRPr="00A9522D" w:rsidRDefault="001E5CBA" w:rsidP="00995DEF">
            <w:pPr>
              <w:jc w:val="center"/>
            </w:pPr>
            <w:proofErr w:type="spellStart"/>
            <w:r w:rsidRPr="00A9522D">
              <w:t>PledgingRate</w:t>
            </w:r>
            <w:r w:rsidRPr="00A9522D">
              <w:rPr>
                <w:vertAlign w:val="subscript"/>
              </w:rPr>
              <w:t>it</w:t>
            </w:r>
            <w:r w:rsidRPr="00A9522D">
              <w:rPr>
                <w:vertAlign w:val="superscript"/>
              </w:rPr>
              <w:t>j</w:t>
            </w:r>
            <w:proofErr w:type="spellEnd"/>
          </w:p>
        </w:tc>
        <w:tc>
          <w:tcPr>
            <w:tcW w:w="5329" w:type="dxa"/>
          </w:tcPr>
          <w:p w:rsidR="001E5CBA" w:rsidRPr="00A9522D" w:rsidRDefault="001E5CBA" w:rsidP="00995DEF">
            <w:r w:rsidRPr="00A9522D">
              <w:t xml:space="preserve">Numerator: the value of share that shareholder pledged </w:t>
            </w:r>
          </w:p>
          <w:p w:rsidR="001E5CBA" w:rsidRPr="00A9522D" w:rsidRDefault="001E5CBA" w:rsidP="00995DEF">
            <w:r w:rsidRPr="00A9522D">
              <w:t xml:space="preserve">Denominator: the total value of shares that shareholders owns at firm </w:t>
            </w:r>
            <w:proofErr w:type="spellStart"/>
            <w:r w:rsidRPr="00A9522D">
              <w:t>i</w:t>
            </w:r>
            <w:proofErr w:type="spellEnd"/>
            <w:r w:rsidRPr="00A9522D">
              <w:t xml:space="preserve"> industry j, </w:t>
            </w:r>
            <w:r w:rsidRPr="00675D23">
              <w:rPr>
                <w:noProof/>
              </w:rPr>
              <w:t>time period</w:t>
            </w:r>
            <w:r w:rsidRPr="00A9522D">
              <w:t xml:space="preserve"> t</w:t>
            </w:r>
          </w:p>
          <w:p w:rsidR="001E5CBA" w:rsidRPr="00A9522D" w:rsidRDefault="001E5CBA" w:rsidP="00995DEF">
            <w:r w:rsidRPr="00A9522D">
              <w:t xml:space="preserve">The range of pledging rate is from 0 to 1. When the firm is without shareholders pledged share, the range of pledging </w:t>
            </w:r>
            <w:r w:rsidRPr="00675D23">
              <w:rPr>
                <w:noProof/>
              </w:rPr>
              <w:t>share</w:t>
            </w:r>
            <w:r w:rsidRPr="00A9522D">
              <w:t xml:space="preserve"> is 0. </w:t>
            </w:r>
            <w:r w:rsidRPr="00675D23">
              <w:rPr>
                <w:noProof/>
              </w:rPr>
              <w:t>This is</w:t>
            </w:r>
            <w:r w:rsidRPr="00A9522D">
              <w:t xml:space="preserve"> not the total value of outstanding shares. </w:t>
            </w:r>
          </w:p>
        </w:tc>
      </w:tr>
      <w:tr w:rsidR="001E5CBA" w:rsidRPr="00A9522D" w:rsidTr="00995DEF">
        <w:trPr>
          <w:trHeight w:val="531"/>
        </w:trPr>
        <w:tc>
          <w:tcPr>
            <w:tcW w:w="2235" w:type="dxa"/>
            <w:vMerge w:val="restart"/>
          </w:tcPr>
          <w:p w:rsidR="001E5CBA" w:rsidRPr="00A9522D" w:rsidRDefault="001E5CBA" w:rsidP="00995DEF">
            <w:pPr>
              <w:jc w:val="center"/>
              <w:rPr>
                <w:vertAlign w:val="subscript"/>
              </w:rPr>
            </w:pPr>
          </w:p>
          <w:p w:rsidR="001E5CBA" w:rsidRPr="00A9522D" w:rsidRDefault="001E5CBA" w:rsidP="00995DEF">
            <w:pPr>
              <w:jc w:val="center"/>
            </w:pPr>
          </w:p>
        </w:tc>
        <w:tc>
          <w:tcPr>
            <w:tcW w:w="2012" w:type="dxa"/>
          </w:tcPr>
          <w:p w:rsidR="001E5CBA" w:rsidRPr="00A9522D" w:rsidRDefault="001E5CBA" w:rsidP="00995DEF">
            <w:pPr>
              <w:ind w:left="114"/>
              <w:jc w:val="center"/>
            </w:pPr>
            <w:proofErr w:type="spellStart"/>
            <w:r w:rsidRPr="00A9522D">
              <w:t>StockReturn</w:t>
            </w:r>
            <w:r w:rsidRPr="00A9522D">
              <w:rPr>
                <w:vertAlign w:val="subscript"/>
              </w:rPr>
              <w:t>it</w:t>
            </w:r>
            <w:r w:rsidRPr="00A9522D">
              <w:rPr>
                <w:vertAlign w:val="superscript"/>
              </w:rPr>
              <w:t>j</w:t>
            </w:r>
            <w:proofErr w:type="spellEnd"/>
          </w:p>
        </w:tc>
        <w:tc>
          <w:tcPr>
            <w:tcW w:w="5329" w:type="dxa"/>
          </w:tcPr>
          <w:p w:rsidR="001E5CBA" w:rsidRPr="00A9522D" w:rsidRDefault="001E5CBA" w:rsidP="00995DEF">
            <w:r w:rsidRPr="00A9522D">
              <w:t xml:space="preserve">the stock return at firm </w:t>
            </w:r>
            <w:proofErr w:type="spellStart"/>
            <w:r w:rsidRPr="00A9522D">
              <w:rPr>
                <w:i/>
              </w:rPr>
              <w:t>i</w:t>
            </w:r>
            <w:proofErr w:type="spellEnd"/>
            <w:r w:rsidRPr="00A9522D">
              <w:t xml:space="preserve"> and industry </w:t>
            </w:r>
            <w:r w:rsidRPr="00A9522D">
              <w:rPr>
                <w:i/>
              </w:rPr>
              <w:t>j</w:t>
            </w:r>
          </w:p>
        </w:tc>
      </w:tr>
      <w:tr w:rsidR="001E5CBA" w:rsidRPr="00A9522D" w:rsidTr="00995DEF">
        <w:trPr>
          <w:trHeight w:val="491"/>
        </w:trPr>
        <w:tc>
          <w:tcPr>
            <w:tcW w:w="2235" w:type="dxa"/>
            <w:vMerge/>
          </w:tcPr>
          <w:p w:rsidR="001E5CBA" w:rsidRPr="00A9522D" w:rsidRDefault="001E5CBA" w:rsidP="00995DEF">
            <w:pPr>
              <w:jc w:val="center"/>
              <w:rPr>
                <w:vertAlign w:val="subscript"/>
              </w:rPr>
            </w:pPr>
          </w:p>
        </w:tc>
        <w:tc>
          <w:tcPr>
            <w:tcW w:w="2012" w:type="dxa"/>
          </w:tcPr>
          <w:p w:rsidR="001E5CBA" w:rsidRPr="00A9522D" w:rsidRDefault="001E5CBA" w:rsidP="00995DEF">
            <w:pPr>
              <w:ind w:left="114"/>
              <w:jc w:val="center"/>
            </w:pPr>
            <w:proofErr w:type="spellStart"/>
            <w:r w:rsidRPr="00A9522D">
              <w:t>MarketReturn</w:t>
            </w:r>
            <w:r w:rsidRPr="00A9522D">
              <w:rPr>
                <w:vertAlign w:val="subscript"/>
              </w:rPr>
              <w:t>it</w:t>
            </w:r>
            <w:r w:rsidRPr="00A9522D">
              <w:rPr>
                <w:vertAlign w:val="superscript"/>
              </w:rPr>
              <w:t>j</w:t>
            </w:r>
            <w:proofErr w:type="spellEnd"/>
          </w:p>
        </w:tc>
        <w:tc>
          <w:tcPr>
            <w:tcW w:w="5329" w:type="dxa"/>
          </w:tcPr>
          <w:p w:rsidR="001E5CBA" w:rsidRPr="00A9522D" w:rsidRDefault="001E5CBA" w:rsidP="00995DEF">
            <w:r w:rsidRPr="00A9522D">
              <w:t xml:space="preserve">the return at firm </w:t>
            </w:r>
            <w:r w:rsidRPr="00675D23">
              <w:rPr>
                <w:noProof/>
              </w:rPr>
              <w:t>iindustry</w:t>
            </w:r>
            <w:r w:rsidRPr="00A9522D">
              <w:t xml:space="preserve"> j, time period t, which is measured by the selected industry index</w:t>
            </w:r>
          </w:p>
        </w:tc>
      </w:tr>
      <w:tr w:rsidR="001E5CBA" w:rsidRPr="00A9522D" w:rsidTr="00995DEF">
        <w:tc>
          <w:tcPr>
            <w:tcW w:w="2235" w:type="dxa"/>
            <w:vMerge w:val="restart"/>
          </w:tcPr>
          <w:p w:rsidR="001E5CBA" w:rsidRPr="00A9522D" w:rsidRDefault="001E5CBA" w:rsidP="00995DEF">
            <w:pPr>
              <w:ind w:leftChars="800" w:left="1920"/>
              <w:jc w:val="center"/>
              <w:rPr>
                <w:i/>
                <w:iCs/>
              </w:rPr>
            </w:pPr>
          </w:p>
          <w:p w:rsidR="001E5CBA" w:rsidRPr="00A9522D" w:rsidRDefault="001E5CBA" w:rsidP="00995DEF">
            <w:pPr>
              <w:jc w:val="center"/>
            </w:pPr>
          </w:p>
          <w:p w:rsidR="001E5CBA" w:rsidRPr="00A9522D" w:rsidRDefault="001E5CBA" w:rsidP="00995DEF">
            <w:pPr>
              <w:jc w:val="center"/>
            </w:pPr>
          </w:p>
          <w:p w:rsidR="001E5CBA" w:rsidRPr="00A9522D" w:rsidRDefault="001E5CBA" w:rsidP="00995DEF">
            <w:pPr>
              <w:jc w:val="center"/>
            </w:pPr>
          </w:p>
          <w:p w:rsidR="001E5CBA" w:rsidRPr="00A9522D" w:rsidRDefault="001E5CBA" w:rsidP="00995DEF">
            <w:pPr>
              <w:jc w:val="center"/>
            </w:pPr>
          </w:p>
          <w:p w:rsidR="001E5CBA" w:rsidRPr="00A9522D" w:rsidRDefault="001E5CBA" w:rsidP="00995DEF">
            <w:pPr>
              <w:jc w:val="center"/>
            </w:pPr>
          </w:p>
          <w:p w:rsidR="001E5CBA" w:rsidRPr="00A9522D" w:rsidRDefault="001E5CBA" w:rsidP="00995DEF"/>
          <w:p w:rsidR="001E5CBA" w:rsidRPr="00A9522D" w:rsidRDefault="001E5CBA" w:rsidP="00995DEF"/>
          <w:p w:rsidR="001E5CBA" w:rsidRPr="00A9522D" w:rsidRDefault="001E5CBA" w:rsidP="00995DEF">
            <w:pPr>
              <w:jc w:val="center"/>
            </w:pPr>
            <w:r w:rsidRPr="00A9522D">
              <w:t>Control Variable</w:t>
            </w:r>
          </w:p>
          <w:p w:rsidR="001E5CBA" w:rsidRPr="00A9522D" w:rsidRDefault="001E5CBA" w:rsidP="00995DEF">
            <w:pPr>
              <w:jc w:val="center"/>
            </w:pPr>
          </w:p>
          <w:p w:rsidR="001E5CBA" w:rsidRPr="00A9522D" w:rsidRDefault="001E5CBA" w:rsidP="00995DEF">
            <w:pPr>
              <w:jc w:val="center"/>
            </w:pPr>
          </w:p>
          <w:p w:rsidR="001E5CBA" w:rsidRPr="00A9522D" w:rsidRDefault="001E5CBA" w:rsidP="00995DEF">
            <w:pPr>
              <w:jc w:val="center"/>
            </w:pPr>
          </w:p>
          <w:p w:rsidR="001E5CBA" w:rsidRPr="00A9522D" w:rsidRDefault="001E5CBA" w:rsidP="00995DEF">
            <w:pPr>
              <w:jc w:val="center"/>
            </w:pPr>
          </w:p>
          <w:p w:rsidR="001E5CBA" w:rsidRPr="00A9522D" w:rsidRDefault="001E5CBA" w:rsidP="00995DEF">
            <w:pPr>
              <w:jc w:val="center"/>
              <w:rPr>
                <w:i/>
                <w:iCs/>
              </w:rPr>
            </w:pPr>
          </w:p>
        </w:tc>
        <w:tc>
          <w:tcPr>
            <w:tcW w:w="2012" w:type="dxa"/>
          </w:tcPr>
          <w:p w:rsidR="001E5CBA" w:rsidRPr="00A9522D" w:rsidRDefault="001E5CBA" w:rsidP="00995DEF">
            <w:pPr>
              <w:ind w:leftChars="47" w:left="113"/>
              <w:jc w:val="center"/>
              <w:rPr>
                <w:iCs/>
              </w:rPr>
            </w:pPr>
            <w:proofErr w:type="spellStart"/>
            <w:r w:rsidRPr="00A9522D">
              <w:rPr>
                <w:iCs/>
              </w:rPr>
              <w:t>IndustryAbnormalReturn</w:t>
            </w:r>
            <w:r w:rsidRPr="00A9522D">
              <w:rPr>
                <w:vertAlign w:val="subscript"/>
              </w:rPr>
              <w:t>it</w:t>
            </w:r>
            <w:r w:rsidRPr="00A9522D">
              <w:rPr>
                <w:vertAlign w:val="superscript"/>
              </w:rPr>
              <w:t>j</w:t>
            </w:r>
            <w:proofErr w:type="spellEnd"/>
          </w:p>
        </w:tc>
        <w:tc>
          <w:tcPr>
            <w:tcW w:w="5329" w:type="dxa"/>
          </w:tcPr>
          <w:p w:rsidR="001E5CBA" w:rsidRPr="00A9522D" w:rsidRDefault="001E5CBA" w:rsidP="00995DEF">
            <w:r w:rsidRPr="00A9522D">
              <w:t xml:space="preserve">Average quarterly abnormal return for firm </w:t>
            </w:r>
            <w:proofErr w:type="spellStart"/>
            <w:r w:rsidRPr="00A9522D">
              <w:t>i</w:t>
            </w:r>
            <w:proofErr w:type="spellEnd"/>
            <w:r w:rsidRPr="00A9522D">
              <w:t xml:space="preserve"> industry j, </w:t>
            </w:r>
            <w:r w:rsidRPr="00675D23">
              <w:rPr>
                <w:noProof/>
              </w:rPr>
              <w:t>time period</w:t>
            </w:r>
            <w:r w:rsidRPr="00A9522D">
              <w:t xml:space="preserve"> t</w:t>
            </w:r>
          </w:p>
        </w:tc>
      </w:tr>
      <w:tr w:rsidR="001E5CBA" w:rsidRPr="00A9522D" w:rsidTr="00995DEF">
        <w:tc>
          <w:tcPr>
            <w:tcW w:w="2235" w:type="dxa"/>
            <w:vMerge/>
          </w:tcPr>
          <w:p w:rsidR="001E5CBA" w:rsidRPr="00A9522D" w:rsidRDefault="001E5CBA" w:rsidP="00995DEF">
            <w:pPr>
              <w:jc w:val="center"/>
            </w:pPr>
          </w:p>
        </w:tc>
        <w:tc>
          <w:tcPr>
            <w:tcW w:w="2012" w:type="dxa"/>
          </w:tcPr>
          <w:p w:rsidR="001E5CBA" w:rsidRPr="00A9522D" w:rsidRDefault="001E5CBA" w:rsidP="00995DEF">
            <w:pPr>
              <w:ind w:leftChars="47" w:left="113"/>
              <w:jc w:val="center"/>
            </w:pPr>
            <w:r w:rsidRPr="00675D23">
              <w:rPr>
                <w:i/>
                <w:iCs/>
                <w:noProof/>
              </w:rPr>
              <w:t>D</w:t>
            </w:r>
            <w:r w:rsidRPr="00675D23">
              <w:rPr>
                <w:noProof/>
              </w:rPr>
              <w:t>ebt</w:t>
            </w:r>
            <w:r w:rsidRPr="00675D23">
              <w:rPr>
                <w:noProof/>
                <w:vertAlign w:val="subscript"/>
              </w:rPr>
              <w:t>it</w:t>
            </w:r>
            <w:r w:rsidRPr="00675D23">
              <w:rPr>
                <w:noProof/>
                <w:vertAlign w:val="superscript"/>
              </w:rPr>
              <w:t>j</w:t>
            </w:r>
            <w:r w:rsidRPr="00A9522D">
              <w:t xml:space="preserve"> (debt-to-as</w:t>
            </w:r>
          </w:p>
          <w:p w:rsidR="001E5CBA" w:rsidRPr="00A9522D" w:rsidRDefault="001E5CBA" w:rsidP="00995DEF">
            <w:pPr>
              <w:ind w:leftChars="47" w:left="113"/>
              <w:jc w:val="center"/>
            </w:pPr>
            <w:r w:rsidRPr="00A9522D">
              <w:t>set ratio)</w:t>
            </w:r>
          </w:p>
        </w:tc>
        <w:tc>
          <w:tcPr>
            <w:tcW w:w="5329" w:type="dxa"/>
          </w:tcPr>
          <w:p w:rsidR="001E5CBA" w:rsidRPr="00A9522D" w:rsidRDefault="001E5CBA" w:rsidP="00995DEF">
            <w:pPr>
              <w:rPr>
                <w:i/>
                <w:iCs/>
                <w:vertAlign w:val="subscript"/>
              </w:rPr>
            </w:pPr>
            <w:r w:rsidRPr="00A9522D">
              <w:t xml:space="preserve">Total </w:t>
            </w:r>
            <w:r w:rsidRPr="00675D23">
              <w:rPr>
                <w:noProof/>
              </w:rPr>
              <w:t>Liabilities</w:t>
            </w:r>
            <w:r w:rsidRPr="00675D23">
              <w:rPr>
                <w:i/>
                <w:iCs/>
                <w:noProof/>
                <w:vertAlign w:val="subscript"/>
              </w:rPr>
              <w:t>i</w:t>
            </w:r>
            <w:r w:rsidRPr="00A9522D">
              <w:t xml:space="preserve">/ Total </w:t>
            </w:r>
            <w:proofErr w:type="spellStart"/>
            <w:r w:rsidRPr="00A9522D">
              <w:t>Assets</w:t>
            </w:r>
            <w:r w:rsidRPr="00A9522D">
              <w:rPr>
                <w:i/>
                <w:iCs/>
                <w:vertAlign w:val="subscript"/>
              </w:rPr>
              <w:t>i</w:t>
            </w:r>
            <w:proofErr w:type="spellEnd"/>
            <w:r w:rsidRPr="00A9522D">
              <w:rPr>
                <w:i/>
                <w:iCs/>
                <w:vertAlign w:val="subscript"/>
              </w:rPr>
              <w:t xml:space="preserve"> </w:t>
            </w:r>
          </w:p>
          <w:p w:rsidR="001E5CBA" w:rsidRPr="00A9522D" w:rsidRDefault="001E5CBA" w:rsidP="00995DEF">
            <w:pPr>
              <w:widowControl w:val="0"/>
              <w:autoSpaceDE w:val="0"/>
              <w:autoSpaceDN w:val="0"/>
              <w:adjustRightInd w:val="0"/>
            </w:pPr>
            <w:r w:rsidRPr="00A9522D">
              <w:rPr>
                <w:i/>
                <w:iCs/>
              </w:rPr>
              <w:t xml:space="preserve">Total </w:t>
            </w:r>
            <w:proofErr w:type="spellStart"/>
            <w:r w:rsidRPr="00A9522D">
              <w:rPr>
                <w:i/>
                <w:iCs/>
              </w:rPr>
              <w:t>liabilitesit</w:t>
            </w:r>
            <w:proofErr w:type="spellEnd"/>
            <w:r w:rsidRPr="00A9522D">
              <w:rPr>
                <w:i/>
                <w:iCs/>
              </w:rPr>
              <w:t xml:space="preserve"> </w:t>
            </w:r>
            <w:r w:rsidRPr="00A9522D">
              <w:t xml:space="preserve">is the total liabilities of firm </w:t>
            </w:r>
            <w:proofErr w:type="spellStart"/>
            <w:r w:rsidRPr="00A9522D">
              <w:t>i</w:t>
            </w:r>
            <w:proofErr w:type="spellEnd"/>
            <w:r w:rsidRPr="00A9522D">
              <w:t xml:space="preserve"> at the end of year t, industry j. </w:t>
            </w:r>
            <w:r w:rsidRPr="00A9522D">
              <w:rPr>
                <w:i/>
                <w:iCs/>
              </w:rPr>
              <w:t xml:space="preserve">Total </w:t>
            </w:r>
            <w:proofErr w:type="spellStart"/>
            <w:r w:rsidRPr="00A9522D">
              <w:rPr>
                <w:i/>
                <w:iCs/>
              </w:rPr>
              <w:t>assetsit</w:t>
            </w:r>
            <w:proofErr w:type="spellEnd"/>
            <w:r w:rsidRPr="00A9522D">
              <w:rPr>
                <w:i/>
                <w:iCs/>
              </w:rPr>
              <w:t xml:space="preserve"> </w:t>
            </w:r>
            <w:r w:rsidRPr="00A9522D">
              <w:t xml:space="preserve">is the total assets of firm </w:t>
            </w:r>
            <w:proofErr w:type="spellStart"/>
            <w:r w:rsidRPr="00A9522D">
              <w:t>i</w:t>
            </w:r>
            <w:proofErr w:type="spellEnd"/>
            <w:r w:rsidRPr="00A9522D">
              <w:t xml:space="preserve"> at the end of year t.</w:t>
            </w:r>
          </w:p>
        </w:tc>
      </w:tr>
      <w:tr w:rsidR="001E5CBA" w:rsidRPr="00A9522D" w:rsidTr="00995DEF">
        <w:tc>
          <w:tcPr>
            <w:tcW w:w="2235" w:type="dxa"/>
            <w:vMerge/>
          </w:tcPr>
          <w:p w:rsidR="001E5CBA" w:rsidRPr="00A9522D" w:rsidRDefault="001E5CBA" w:rsidP="00995DEF">
            <w:pPr>
              <w:jc w:val="center"/>
            </w:pPr>
          </w:p>
        </w:tc>
        <w:tc>
          <w:tcPr>
            <w:tcW w:w="2012" w:type="dxa"/>
          </w:tcPr>
          <w:p w:rsidR="001E5CBA" w:rsidRPr="00A9522D" w:rsidRDefault="001E5CBA" w:rsidP="00995DEF">
            <w:pPr>
              <w:ind w:left="114"/>
              <w:jc w:val="center"/>
            </w:pPr>
            <w:proofErr w:type="spellStart"/>
            <w:r w:rsidRPr="00A9522D">
              <w:rPr>
                <w:i/>
                <w:iCs/>
              </w:rPr>
              <w:t>Log</w:t>
            </w:r>
            <w:r w:rsidRPr="00A9522D">
              <w:t>AssetSize</w:t>
            </w:r>
            <w:r w:rsidRPr="00A9522D">
              <w:rPr>
                <w:vertAlign w:val="subscript"/>
              </w:rPr>
              <w:t>it</w:t>
            </w:r>
            <w:r w:rsidRPr="00A9522D">
              <w:rPr>
                <w:vertAlign w:val="superscript"/>
              </w:rPr>
              <w:t>j</w:t>
            </w:r>
            <w:proofErr w:type="spellEnd"/>
          </w:p>
        </w:tc>
        <w:tc>
          <w:tcPr>
            <w:tcW w:w="5329" w:type="dxa"/>
          </w:tcPr>
          <w:p w:rsidR="001E5CBA" w:rsidRPr="00A9522D" w:rsidRDefault="001E5CBA" w:rsidP="00995DEF">
            <w:pPr>
              <w:widowControl w:val="0"/>
              <w:autoSpaceDE w:val="0"/>
              <w:autoSpaceDN w:val="0"/>
              <w:adjustRightInd w:val="0"/>
            </w:pPr>
            <w:r w:rsidRPr="00A9522D">
              <w:t>The logarithm of market value of the firm i’s outstanding shares.</w:t>
            </w:r>
            <w:r w:rsidRPr="00A9522D">
              <w:rPr>
                <w:i/>
                <w:iCs/>
              </w:rPr>
              <w:t xml:space="preserve"> </w:t>
            </w:r>
            <w:proofErr w:type="spellStart"/>
            <w:r w:rsidRPr="00A9522D">
              <w:rPr>
                <w:i/>
                <w:iCs/>
              </w:rPr>
              <w:t>LogMV</w:t>
            </w:r>
            <w:proofErr w:type="spellEnd"/>
            <w:r w:rsidRPr="00A9522D">
              <w:rPr>
                <w:i/>
                <w:iCs/>
              </w:rPr>
              <w:t xml:space="preserve"> </w:t>
            </w:r>
            <w:r w:rsidRPr="00A9522D">
              <w:t>is a proxy for firm size.</w:t>
            </w:r>
          </w:p>
          <w:p w:rsidR="001E5CBA" w:rsidRPr="00A9522D" w:rsidRDefault="001E5CBA" w:rsidP="00995DEF">
            <w:pPr>
              <w:widowControl w:val="0"/>
              <w:autoSpaceDE w:val="0"/>
              <w:autoSpaceDN w:val="0"/>
              <w:adjustRightInd w:val="0"/>
            </w:pPr>
            <w:proofErr w:type="spellStart"/>
            <w:r w:rsidRPr="00A9522D">
              <w:rPr>
                <w:i/>
                <w:iCs/>
              </w:rPr>
              <w:t>LogMVit</w:t>
            </w:r>
            <w:proofErr w:type="spellEnd"/>
            <w:r w:rsidRPr="00A9522D">
              <w:t>=log(</w:t>
            </w:r>
            <w:proofErr w:type="spellStart"/>
            <w:r w:rsidRPr="00A9522D">
              <w:t>Pit×Number</w:t>
            </w:r>
            <w:proofErr w:type="spellEnd"/>
            <w:r w:rsidRPr="00A9522D">
              <w:t xml:space="preserve"> of shares </w:t>
            </w:r>
            <w:proofErr w:type="spellStart"/>
            <w:r w:rsidRPr="00A9522D">
              <w:t>outstandingit</w:t>
            </w:r>
            <w:proofErr w:type="spellEnd"/>
            <w:r w:rsidRPr="00A9522D">
              <w:t>),</w:t>
            </w:r>
          </w:p>
          <w:p w:rsidR="001E5CBA" w:rsidRPr="00A9522D" w:rsidRDefault="001E5CBA" w:rsidP="00995DEF">
            <w:pPr>
              <w:widowControl w:val="0"/>
              <w:autoSpaceDE w:val="0"/>
              <w:autoSpaceDN w:val="0"/>
              <w:adjustRightInd w:val="0"/>
            </w:pPr>
            <w:r w:rsidRPr="00A9522D">
              <w:rPr>
                <w:i/>
                <w:iCs/>
              </w:rPr>
              <w:t xml:space="preserve">Pit </w:t>
            </w:r>
            <w:r w:rsidRPr="00A9522D">
              <w:t xml:space="preserve">is the stock price of firm </w:t>
            </w:r>
            <w:proofErr w:type="spellStart"/>
            <w:r w:rsidRPr="00A9522D">
              <w:t>i</w:t>
            </w:r>
            <w:proofErr w:type="spellEnd"/>
            <w:r w:rsidRPr="00A9522D">
              <w:t xml:space="preserve"> at the end of year t and industry j.</w:t>
            </w:r>
          </w:p>
          <w:p w:rsidR="001E5CBA" w:rsidRPr="00A9522D" w:rsidRDefault="001E5CBA" w:rsidP="00995DEF">
            <w:pPr>
              <w:widowControl w:val="0"/>
              <w:autoSpaceDE w:val="0"/>
              <w:autoSpaceDN w:val="0"/>
              <w:adjustRightInd w:val="0"/>
            </w:pPr>
            <w:r w:rsidRPr="00A9522D">
              <w:rPr>
                <w:i/>
                <w:iCs/>
              </w:rPr>
              <w:t xml:space="preserve">Number of share </w:t>
            </w:r>
            <w:proofErr w:type="spellStart"/>
            <w:r w:rsidRPr="00A9522D">
              <w:rPr>
                <w:i/>
                <w:iCs/>
              </w:rPr>
              <w:t>outstandingit</w:t>
            </w:r>
            <w:proofErr w:type="spellEnd"/>
            <w:r w:rsidRPr="00A9522D">
              <w:rPr>
                <w:i/>
                <w:iCs/>
              </w:rPr>
              <w:t xml:space="preserve"> </w:t>
            </w:r>
            <w:r w:rsidRPr="00A9522D">
              <w:t xml:space="preserve">is the number of shares outstanding of firm </w:t>
            </w:r>
            <w:proofErr w:type="spellStart"/>
            <w:r w:rsidRPr="00A9522D">
              <w:t>i</w:t>
            </w:r>
            <w:proofErr w:type="spellEnd"/>
            <w:r w:rsidRPr="00A9522D">
              <w:t xml:space="preserve"> at the</w:t>
            </w:r>
          </w:p>
          <w:p w:rsidR="001E5CBA" w:rsidRPr="00A9522D" w:rsidRDefault="001E5CBA" w:rsidP="00995DEF">
            <w:r w:rsidRPr="00A9522D">
              <w:t>end of year t.</w:t>
            </w:r>
          </w:p>
        </w:tc>
      </w:tr>
      <w:tr w:rsidR="001E5CBA" w:rsidRPr="00A9522D" w:rsidTr="00995DEF">
        <w:tc>
          <w:tcPr>
            <w:tcW w:w="2235" w:type="dxa"/>
            <w:vMerge/>
          </w:tcPr>
          <w:p w:rsidR="001E5CBA" w:rsidRPr="00A9522D" w:rsidRDefault="001E5CBA" w:rsidP="00995DEF">
            <w:pPr>
              <w:jc w:val="center"/>
            </w:pPr>
          </w:p>
        </w:tc>
        <w:tc>
          <w:tcPr>
            <w:tcW w:w="2012" w:type="dxa"/>
          </w:tcPr>
          <w:p w:rsidR="001E5CBA" w:rsidRPr="00A9522D" w:rsidRDefault="001E5CBA" w:rsidP="00995DEF">
            <w:pPr>
              <w:ind w:left="114"/>
              <w:jc w:val="center"/>
              <w:rPr>
                <w:vertAlign w:val="subscript"/>
              </w:rPr>
            </w:pPr>
            <w:r w:rsidRPr="00A9522D">
              <w:t xml:space="preserve">Gross </w:t>
            </w:r>
            <w:proofErr w:type="spellStart"/>
            <w:r w:rsidRPr="00A9522D">
              <w:t>Return</w:t>
            </w:r>
            <w:r w:rsidRPr="00A9522D">
              <w:rPr>
                <w:vertAlign w:val="subscript"/>
              </w:rPr>
              <w:t>it</w:t>
            </w:r>
            <w:r w:rsidRPr="00A9522D">
              <w:rPr>
                <w:vertAlign w:val="superscript"/>
              </w:rPr>
              <w:t>j</w:t>
            </w:r>
            <w:proofErr w:type="spellEnd"/>
          </w:p>
          <w:p w:rsidR="001E5CBA" w:rsidRPr="00A9522D" w:rsidRDefault="001E5CBA" w:rsidP="00995DEF">
            <w:pPr>
              <w:ind w:left="114"/>
              <w:jc w:val="center"/>
            </w:pPr>
          </w:p>
        </w:tc>
        <w:tc>
          <w:tcPr>
            <w:tcW w:w="5329" w:type="dxa"/>
          </w:tcPr>
          <w:p w:rsidR="001E5CBA" w:rsidRPr="00A9522D" w:rsidRDefault="001E5CBA" w:rsidP="00995DEF">
            <w:r w:rsidRPr="00A9522D">
              <w:t>The measurement of firm i’s profitability, industry j, time period t</w:t>
            </w:r>
          </w:p>
        </w:tc>
      </w:tr>
      <w:tr w:rsidR="001E5CBA" w:rsidRPr="00A9522D" w:rsidTr="00995DEF">
        <w:tc>
          <w:tcPr>
            <w:tcW w:w="2235" w:type="dxa"/>
            <w:vMerge/>
          </w:tcPr>
          <w:p w:rsidR="001E5CBA" w:rsidRPr="00A9522D" w:rsidRDefault="001E5CBA" w:rsidP="00995DEF">
            <w:pPr>
              <w:jc w:val="center"/>
            </w:pPr>
          </w:p>
        </w:tc>
        <w:tc>
          <w:tcPr>
            <w:tcW w:w="2012" w:type="dxa"/>
          </w:tcPr>
          <w:p w:rsidR="001E5CBA" w:rsidRPr="00A9522D" w:rsidRDefault="001E5CBA" w:rsidP="00995DEF">
            <w:pPr>
              <w:ind w:left="114"/>
              <w:jc w:val="center"/>
            </w:pPr>
            <w:proofErr w:type="spellStart"/>
            <w:r w:rsidRPr="00A9522D">
              <w:t>ROE</w:t>
            </w:r>
            <w:r w:rsidRPr="00A9522D">
              <w:rPr>
                <w:vertAlign w:val="subscript"/>
              </w:rPr>
              <w:t>it</w:t>
            </w:r>
            <w:r w:rsidRPr="00A9522D">
              <w:rPr>
                <w:vertAlign w:val="superscript"/>
              </w:rPr>
              <w:t>j</w:t>
            </w:r>
            <w:proofErr w:type="spellEnd"/>
          </w:p>
        </w:tc>
        <w:tc>
          <w:tcPr>
            <w:tcW w:w="5329" w:type="dxa"/>
          </w:tcPr>
          <w:p w:rsidR="001E5CBA" w:rsidRPr="00A9522D" w:rsidRDefault="001E5CBA" w:rsidP="00995DEF">
            <w:r w:rsidRPr="00A9522D">
              <w:t xml:space="preserve">Return on equity of firm </w:t>
            </w:r>
            <w:proofErr w:type="spellStart"/>
            <w:r w:rsidRPr="00A9522D">
              <w:t>iindustry</w:t>
            </w:r>
            <w:proofErr w:type="spellEnd"/>
            <w:r w:rsidRPr="00A9522D">
              <w:t xml:space="preserve"> j, time period t</w:t>
            </w:r>
          </w:p>
        </w:tc>
      </w:tr>
      <w:tr w:rsidR="001E5CBA" w:rsidRPr="00A9522D" w:rsidTr="00995DEF">
        <w:tc>
          <w:tcPr>
            <w:tcW w:w="2235" w:type="dxa"/>
            <w:vMerge/>
          </w:tcPr>
          <w:p w:rsidR="001E5CBA" w:rsidRPr="00A9522D" w:rsidRDefault="001E5CBA" w:rsidP="00995DEF">
            <w:pPr>
              <w:jc w:val="center"/>
            </w:pPr>
          </w:p>
        </w:tc>
        <w:tc>
          <w:tcPr>
            <w:tcW w:w="2012" w:type="dxa"/>
          </w:tcPr>
          <w:p w:rsidR="001E5CBA" w:rsidRPr="00A9522D" w:rsidRDefault="001E5CBA" w:rsidP="00995DEF">
            <w:pPr>
              <w:ind w:left="114"/>
              <w:jc w:val="center"/>
            </w:pPr>
            <w:proofErr w:type="spellStart"/>
            <w:r w:rsidRPr="00A9522D">
              <w:t>Ownership</w:t>
            </w:r>
            <w:r w:rsidRPr="00A9522D">
              <w:rPr>
                <w:vertAlign w:val="subscript"/>
              </w:rPr>
              <w:t>it</w:t>
            </w:r>
            <w:r w:rsidRPr="00A9522D">
              <w:rPr>
                <w:vertAlign w:val="superscript"/>
              </w:rPr>
              <w:t>j</w:t>
            </w:r>
            <w:r w:rsidRPr="00A9522D">
              <w:rPr>
                <w:vertAlign w:val="subscript"/>
              </w:rPr>
              <w:t>i</w:t>
            </w:r>
            <w:proofErr w:type="spellEnd"/>
          </w:p>
        </w:tc>
        <w:tc>
          <w:tcPr>
            <w:tcW w:w="5329" w:type="dxa"/>
          </w:tcPr>
          <w:p w:rsidR="001E5CBA" w:rsidRPr="00A9522D" w:rsidRDefault="001E5CBA" w:rsidP="00995DEF">
            <w:r w:rsidRPr="00A9522D">
              <w:t xml:space="preserve">Percentage of shares owned by directors in firm </w:t>
            </w:r>
            <w:proofErr w:type="spellStart"/>
            <w:r w:rsidRPr="00A9522D">
              <w:t>i</w:t>
            </w:r>
            <w:proofErr w:type="spellEnd"/>
            <w:r w:rsidRPr="00A9522D">
              <w:t xml:space="preserve"> industry j, time period t</w:t>
            </w:r>
          </w:p>
          <w:p w:rsidR="001E5CBA" w:rsidRPr="00A9522D" w:rsidRDefault="001E5CBA" w:rsidP="00995DEF">
            <w:pPr>
              <w:widowControl w:val="0"/>
              <w:autoSpaceDE w:val="0"/>
              <w:autoSpaceDN w:val="0"/>
              <w:adjustRightInd w:val="0"/>
            </w:pPr>
            <w:proofErr w:type="spellStart"/>
            <w:r w:rsidRPr="00A9522D">
              <w:rPr>
                <w:i/>
                <w:iCs/>
              </w:rPr>
              <w:t>OWNERSHIP</w:t>
            </w:r>
            <w:r w:rsidRPr="00A9522D">
              <w:rPr>
                <w:i/>
                <w:iCs/>
                <w:vertAlign w:val="subscript"/>
              </w:rPr>
              <w:t>it</w:t>
            </w:r>
            <w:proofErr w:type="spellEnd"/>
            <w:r w:rsidRPr="00A9522D">
              <w:t xml:space="preserve">= shares owned by directors /number of shares outstanding </w:t>
            </w:r>
          </w:p>
        </w:tc>
      </w:tr>
      <w:tr w:rsidR="001E5CBA" w:rsidRPr="00A9522D" w:rsidTr="00995DEF">
        <w:tc>
          <w:tcPr>
            <w:tcW w:w="2235" w:type="dxa"/>
          </w:tcPr>
          <w:p w:rsidR="001E5CBA" w:rsidRPr="00A9522D" w:rsidRDefault="001E5CBA" w:rsidP="00995DEF">
            <w:pPr>
              <w:jc w:val="center"/>
            </w:pPr>
            <w:r w:rsidRPr="00A9522D">
              <w:t>Dummy variable</w:t>
            </w:r>
          </w:p>
        </w:tc>
        <w:tc>
          <w:tcPr>
            <w:tcW w:w="2012" w:type="dxa"/>
          </w:tcPr>
          <w:p w:rsidR="001E5CBA" w:rsidRPr="00A9522D" w:rsidRDefault="001E5CBA" w:rsidP="00995DEF">
            <w:pPr>
              <w:ind w:left="114"/>
              <w:jc w:val="center"/>
            </w:pPr>
            <w:proofErr w:type="spellStart"/>
            <w:r w:rsidRPr="00A9522D">
              <w:t>Gamma</w:t>
            </w:r>
            <w:r w:rsidRPr="00A9522D">
              <w:rPr>
                <w:vertAlign w:val="subscript"/>
              </w:rPr>
              <w:t>it</w:t>
            </w:r>
            <w:r w:rsidRPr="00A9522D">
              <w:rPr>
                <w:vertAlign w:val="superscript"/>
              </w:rPr>
              <w:t>j</w:t>
            </w:r>
            <w:proofErr w:type="spellEnd"/>
          </w:p>
        </w:tc>
        <w:tc>
          <w:tcPr>
            <w:tcW w:w="5329" w:type="dxa"/>
          </w:tcPr>
          <w:p w:rsidR="001E5CBA" w:rsidRPr="00A9522D" w:rsidRDefault="001E5CBA" w:rsidP="00995DEF">
            <w:pPr>
              <w:widowControl w:val="0"/>
              <w:autoSpaceDE w:val="0"/>
              <w:autoSpaceDN w:val="0"/>
              <w:adjustRightInd w:val="0"/>
            </w:pPr>
            <w:r w:rsidRPr="00A9522D">
              <w:t xml:space="preserve">Industry dummy variable. </w:t>
            </w:r>
            <w:r w:rsidRPr="00A9522D">
              <w:rPr>
                <w:iCs/>
              </w:rPr>
              <w:t>Equal to</w:t>
            </w:r>
            <w:r w:rsidRPr="00A9522D">
              <w:t xml:space="preserve"> 1 for electronic firms; 0 otherwise for firm </w:t>
            </w:r>
            <w:proofErr w:type="spellStart"/>
            <w:r w:rsidRPr="00A9522D">
              <w:t>i</w:t>
            </w:r>
            <w:proofErr w:type="spellEnd"/>
            <w:r w:rsidRPr="00A9522D">
              <w:t>, industry j, time period t</w:t>
            </w:r>
          </w:p>
        </w:tc>
      </w:tr>
    </w:tbl>
    <w:p w:rsidR="001E5CBA" w:rsidRPr="00A9522D" w:rsidRDefault="001E5CBA" w:rsidP="001E5CBA">
      <w:r w:rsidRPr="00A9522D">
        <w:rPr>
          <w:i/>
        </w:rPr>
        <w:t xml:space="preserve">*Chen Anlin, Kao </w:t>
      </w:r>
      <w:proofErr w:type="spellStart"/>
      <w:r w:rsidRPr="00A9522D">
        <w:rPr>
          <w:i/>
        </w:rPr>
        <w:t>Lanfeng</w:t>
      </w:r>
      <w:proofErr w:type="spellEnd"/>
      <w:r w:rsidRPr="00A9522D">
        <w:rPr>
          <w:i/>
        </w:rPr>
        <w:t xml:space="preserve">, Chen Yi-Kai, Agency Costs of Controlling Shareholder's Share Collateral with Taiwan Evidence, National Sun </w:t>
      </w:r>
      <w:proofErr w:type="spellStart"/>
      <w:r w:rsidRPr="00A9522D">
        <w:rPr>
          <w:i/>
        </w:rPr>
        <w:t>Yat</w:t>
      </w:r>
      <w:proofErr w:type="spellEnd"/>
      <w:r w:rsidRPr="00A9522D">
        <w:rPr>
          <w:i/>
        </w:rPr>
        <w:t>-Sen University, Taiwan, July 2007</w:t>
      </w:r>
    </w:p>
    <w:p w:rsidR="007630B3" w:rsidRPr="001E5CBA" w:rsidRDefault="007630B3" w:rsidP="00FA55B5">
      <w:pPr>
        <w:pStyle w:val="Default"/>
        <w:spacing w:line="480" w:lineRule="auto"/>
        <w:rPr>
          <w:noProof/>
        </w:rPr>
      </w:pPr>
    </w:p>
    <w:sectPr w:rsidR="007630B3" w:rsidRPr="001E5CBA" w:rsidSect="009D23C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7BC" w:rsidRDefault="00EC07BC">
      <w:r>
        <w:separator/>
      </w:r>
    </w:p>
  </w:endnote>
  <w:endnote w:type="continuationSeparator" w:id="0">
    <w:p w:rsidR="00EC07BC" w:rsidRDefault="00EC0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FC3" w:rsidRDefault="00063FC3">
    <w:pPr>
      <w:pStyle w:val="a3"/>
      <w:jc w:val="right"/>
    </w:pPr>
    <w:r>
      <w:fldChar w:fldCharType="begin"/>
    </w:r>
    <w:r>
      <w:instrText xml:space="preserve"> PAGE   \* MERGEFORMAT </w:instrText>
    </w:r>
    <w:r>
      <w:fldChar w:fldCharType="separate"/>
    </w:r>
    <w:r w:rsidR="00B468FE">
      <w:rPr>
        <w:noProof/>
      </w:rPr>
      <w:t>20</w:t>
    </w:r>
    <w:r>
      <w:rPr>
        <w:noProof/>
      </w:rPr>
      <w:fldChar w:fldCharType="end"/>
    </w:r>
  </w:p>
  <w:p w:rsidR="00063FC3" w:rsidRDefault="00063FC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7BC" w:rsidRDefault="00EC07BC">
      <w:r>
        <w:separator/>
      </w:r>
    </w:p>
  </w:footnote>
  <w:footnote w:type="continuationSeparator" w:id="0">
    <w:p w:rsidR="00EC07BC" w:rsidRDefault="00EC07BC">
      <w:r>
        <w:continuationSeparator/>
      </w:r>
    </w:p>
  </w:footnote>
  <w:footnote w:id="1">
    <w:p w:rsidR="002F3FEE" w:rsidRDefault="002F3FEE">
      <w:pPr>
        <w:pStyle w:val="ac"/>
      </w:pPr>
      <w:r>
        <w:rPr>
          <w:rStyle w:val="ad"/>
        </w:rPr>
        <w:footnoteRef/>
      </w:r>
      <w:r>
        <w:t xml:space="preserve"> By </w:t>
      </w:r>
      <w:r w:rsidRPr="00AA3190">
        <w:rPr>
          <w:rFonts w:eastAsiaTheme="minorEastAsia"/>
          <w:color w:val="000000"/>
        </w:rPr>
        <w:t>Anderson and Puleo (2015)</w:t>
      </w:r>
    </w:p>
  </w:footnote>
  <w:footnote w:id="2">
    <w:p w:rsidR="00AA3190" w:rsidRDefault="00AA3190">
      <w:pPr>
        <w:pStyle w:val="ac"/>
      </w:pPr>
      <w:r>
        <w:rPr>
          <w:rStyle w:val="ad"/>
        </w:rPr>
        <w:footnoteRef/>
      </w:r>
      <w:r>
        <w:t xml:space="preserve"> </w:t>
      </w:r>
      <w:r w:rsidRPr="00D111F9">
        <w:t>Anderson and Puleo (2015)</w:t>
      </w:r>
    </w:p>
  </w:footnote>
  <w:footnote w:id="3">
    <w:p w:rsidR="00AA3190" w:rsidRDefault="00AA3190">
      <w:pPr>
        <w:pStyle w:val="ac"/>
      </w:pPr>
      <w:r>
        <w:rPr>
          <w:rStyle w:val="ad"/>
        </w:rPr>
        <w:footnoteRef/>
      </w:r>
      <w:r>
        <w:t xml:space="preserve"> </w:t>
      </w:r>
      <w:r w:rsidRPr="00D111F9">
        <w:t>Anderson and Puleo (2015)</w:t>
      </w:r>
    </w:p>
  </w:footnote>
  <w:footnote w:id="4">
    <w:p w:rsidR="004842CB" w:rsidRDefault="004842CB">
      <w:pPr>
        <w:pStyle w:val="ac"/>
      </w:pPr>
      <w:r>
        <w:rPr>
          <w:rStyle w:val="ad"/>
        </w:rPr>
        <w:footnoteRef/>
      </w:r>
      <w:r>
        <w:t xml:space="preserve"> Note that consistency in this case is along the time-dimension. Since your time dimension is small, my consistency arguments may be weak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A1906"/>
    <w:multiLevelType w:val="hybridMultilevel"/>
    <w:tmpl w:val="4552C7FA"/>
    <w:lvl w:ilvl="0" w:tplc="4EBA9ED8">
      <w:start w:val="1"/>
      <w:numFmt w:val="bullet"/>
      <w:lvlText w:val=""/>
      <w:lvlJc w:val="left"/>
      <w:pPr>
        <w:tabs>
          <w:tab w:val="num" w:pos="720"/>
        </w:tabs>
        <w:ind w:left="720" w:hanging="360"/>
      </w:pPr>
      <w:rPr>
        <w:rFonts w:ascii="Wingdings 2" w:hAnsi="Wingdings 2" w:hint="default"/>
      </w:rPr>
    </w:lvl>
    <w:lvl w:ilvl="1" w:tplc="71AEC2CA" w:tentative="1">
      <w:start w:val="1"/>
      <w:numFmt w:val="bullet"/>
      <w:lvlText w:val=""/>
      <w:lvlJc w:val="left"/>
      <w:pPr>
        <w:tabs>
          <w:tab w:val="num" w:pos="1440"/>
        </w:tabs>
        <w:ind w:left="1440" w:hanging="360"/>
      </w:pPr>
      <w:rPr>
        <w:rFonts w:ascii="Wingdings 2" w:hAnsi="Wingdings 2" w:hint="default"/>
      </w:rPr>
    </w:lvl>
    <w:lvl w:ilvl="2" w:tplc="43F6AFB2" w:tentative="1">
      <w:start w:val="1"/>
      <w:numFmt w:val="bullet"/>
      <w:lvlText w:val=""/>
      <w:lvlJc w:val="left"/>
      <w:pPr>
        <w:tabs>
          <w:tab w:val="num" w:pos="2160"/>
        </w:tabs>
        <w:ind w:left="2160" w:hanging="360"/>
      </w:pPr>
      <w:rPr>
        <w:rFonts w:ascii="Wingdings 2" w:hAnsi="Wingdings 2" w:hint="default"/>
      </w:rPr>
    </w:lvl>
    <w:lvl w:ilvl="3" w:tplc="ED403D12" w:tentative="1">
      <w:start w:val="1"/>
      <w:numFmt w:val="bullet"/>
      <w:lvlText w:val=""/>
      <w:lvlJc w:val="left"/>
      <w:pPr>
        <w:tabs>
          <w:tab w:val="num" w:pos="2880"/>
        </w:tabs>
        <w:ind w:left="2880" w:hanging="360"/>
      </w:pPr>
      <w:rPr>
        <w:rFonts w:ascii="Wingdings 2" w:hAnsi="Wingdings 2" w:hint="default"/>
      </w:rPr>
    </w:lvl>
    <w:lvl w:ilvl="4" w:tplc="6AFCCC9A" w:tentative="1">
      <w:start w:val="1"/>
      <w:numFmt w:val="bullet"/>
      <w:lvlText w:val=""/>
      <w:lvlJc w:val="left"/>
      <w:pPr>
        <w:tabs>
          <w:tab w:val="num" w:pos="3600"/>
        </w:tabs>
        <w:ind w:left="3600" w:hanging="360"/>
      </w:pPr>
      <w:rPr>
        <w:rFonts w:ascii="Wingdings 2" w:hAnsi="Wingdings 2" w:hint="default"/>
      </w:rPr>
    </w:lvl>
    <w:lvl w:ilvl="5" w:tplc="A4200EC6" w:tentative="1">
      <w:start w:val="1"/>
      <w:numFmt w:val="bullet"/>
      <w:lvlText w:val=""/>
      <w:lvlJc w:val="left"/>
      <w:pPr>
        <w:tabs>
          <w:tab w:val="num" w:pos="4320"/>
        </w:tabs>
        <w:ind w:left="4320" w:hanging="360"/>
      </w:pPr>
      <w:rPr>
        <w:rFonts w:ascii="Wingdings 2" w:hAnsi="Wingdings 2" w:hint="default"/>
      </w:rPr>
    </w:lvl>
    <w:lvl w:ilvl="6" w:tplc="15441BA8" w:tentative="1">
      <w:start w:val="1"/>
      <w:numFmt w:val="bullet"/>
      <w:lvlText w:val=""/>
      <w:lvlJc w:val="left"/>
      <w:pPr>
        <w:tabs>
          <w:tab w:val="num" w:pos="5040"/>
        </w:tabs>
        <w:ind w:left="5040" w:hanging="360"/>
      </w:pPr>
      <w:rPr>
        <w:rFonts w:ascii="Wingdings 2" w:hAnsi="Wingdings 2" w:hint="default"/>
      </w:rPr>
    </w:lvl>
    <w:lvl w:ilvl="7" w:tplc="57DCF9BC" w:tentative="1">
      <w:start w:val="1"/>
      <w:numFmt w:val="bullet"/>
      <w:lvlText w:val=""/>
      <w:lvlJc w:val="left"/>
      <w:pPr>
        <w:tabs>
          <w:tab w:val="num" w:pos="5760"/>
        </w:tabs>
        <w:ind w:left="5760" w:hanging="360"/>
      </w:pPr>
      <w:rPr>
        <w:rFonts w:ascii="Wingdings 2" w:hAnsi="Wingdings 2" w:hint="default"/>
      </w:rPr>
    </w:lvl>
    <w:lvl w:ilvl="8" w:tplc="4588EFD0"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B64271F"/>
    <w:multiLevelType w:val="hybridMultilevel"/>
    <w:tmpl w:val="236AF774"/>
    <w:lvl w:ilvl="0" w:tplc="DC10D178">
      <w:start w:val="1"/>
      <w:numFmt w:val="bullet"/>
      <w:lvlText w:val="•"/>
      <w:lvlJc w:val="left"/>
      <w:pPr>
        <w:tabs>
          <w:tab w:val="num" w:pos="720"/>
        </w:tabs>
        <w:ind w:left="720" w:hanging="360"/>
      </w:pPr>
      <w:rPr>
        <w:rFonts w:ascii="Arial" w:hAnsi="Arial" w:hint="default"/>
      </w:rPr>
    </w:lvl>
    <w:lvl w:ilvl="1" w:tplc="7CE2599E" w:tentative="1">
      <w:start w:val="1"/>
      <w:numFmt w:val="bullet"/>
      <w:lvlText w:val="•"/>
      <w:lvlJc w:val="left"/>
      <w:pPr>
        <w:tabs>
          <w:tab w:val="num" w:pos="1440"/>
        </w:tabs>
        <w:ind w:left="1440" w:hanging="360"/>
      </w:pPr>
      <w:rPr>
        <w:rFonts w:ascii="Arial" w:hAnsi="Arial" w:hint="default"/>
      </w:rPr>
    </w:lvl>
    <w:lvl w:ilvl="2" w:tplc="6FDEFFD2" w:tentative="1">
      <w:start w:val="1"/>
      <w:numFmt w:val="bullet"/>
      <w:lvlText w:val="•"/>
      <w:lvlJc w:val="left"/>
      <w:pPr>
        <w:tabs>
          <w:tab w:val="num" w:pos="2160"/>
        </w:tabs>
        <w:ind w:left="2160" w:hanging="360"/>
      </w:pPr>
      <w:rPr>
        <w:rFonts w:ascii="Arial" w:hAnsi="Arial" w:hint="default"/>
      </w:rPr>
    </w:lvl>
    <w:lvl w:ilvl="3" w:tplc="A65CA776" w:tentative="1">
      <w:start w:val="1"/>
      <w:numFmt w:val="bullet"/>
      <w:lvlText w:val="•"/>
      <w:lvlJc w:val="left"/>
      <w:pPr>
        <w:tabs>
          <w:tab w:val="num" w:pos="2880"/>
        </w:tabs>
        <w:ind w:left="2880" w:hanging="360"/>
      </w:pPr>
      <w:rPr>
        <w:rFonts w:ascii="Arial" w:hAnsi="Arial" w:hint="default"/>
      </w:rPr>
    </w:lvl>
    <w:lvl w:ilvl="4" w:tplc="E954BA12" w:tentative="1">
      <w:start w:val="1"/>
      <w:numFmt w:val="bullet"/>
      <w:lvlText w:val="•"/>
      <w:lvlJc w:val="left"/>
      <w:pPr>
        <w:tabs>
          <w:tab w:val="num" w:pos="3600"/>
        </w:tabs>
        <w:ind w:left="3600" w:hanging="360"/>
      </w:pPr>
      <w:rPr>
        <w:rFonts w:ascii="Arial" w:hAnsi="Arial" w:hint="default"/>
      </w:rPr>
    </w:lvl>
    <w:lvl w:ilvl="5" w:tplc="FB0478E4" w:tentative="1">
      <w:start w:val="1"/>
      <w:numFmt w:val="bullet"/>
      <w:lvlText w:val="•"/>
      <w:lvlJc w:val="left"/>
      <w:pPr>
        <w:tabs>
          <w:tab w:val="num" w:pos="4320"/>
        </w:tabs>
        <w:ind w:left="4320" w:hanging="360"/>
      </w:pPr>
      <w:rPr>
        <w:rFonts w:ascii="Arial" w:hAnsi="Arial" w:hint="default"/>
      </w:rPr>
    </w:lvl>
    <w:lvl w:ilvl="6" w:tplc="2392DB04" w:tentative="1">
      <w:start w:val="1"/>
      <w:numFmt w:val="bullet"/>
      <w:lvlText w:val="•"/>
      <w:lvlJc w:val="left"/>
      <w:pPr>
        <w:tabs>
          <w:tab w:val="num" w:pos="5040"/>
        </w:tabs>
        <w:ind w:left="5040" w:hanging="360"/>
      </w:pPr>
      <w:rPr>
        <w:rFonts w:ascii="Arial" w:hAnsi="Arial" w:hint="default"/>
      </w:rPr>
    </w:lvl>
    <w:lvl w:ilvl="7" w:tplc="EBC223F0" w:tentative="1">
      <w:start w:val="1"/>
      <w:numFmt w:val="bullet"/>
      <w:lvlText w:val="•"/>
      <w:lvlJc w:val="left"/>
      <w:pPr>
        <w:tabs>
          <w:tab w:val="num" w:pos="5760"/>
        </w:tabs>
        <w:ind w:left="5760" w:hanging="360"/>
      </w:pPr>
      <w:rPr>
        <w:rFonts w:ascii="Arial" w:hAnsi="Arial" w:hint="default"/>
      </w:rPr>
    </w:lvl>
    <w:lvl w:ilvl="8" w:tplc="2B5847E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1C71172"/>
    <w:multiLevelType w:val="hybridMultilevel"/>
    <w:tmpl w:val="CDFE09DC"/>
    <w:lvl w:ilvl="0" w:tplc="7D488F0E">
      <w:start w:val="1"/>
      <w:numFmt w:val="bullet"/>
      <w:lvlText w:val="•"/>
      <w:lvlJc w:val="left"/>
      <w:pPr>
        <w:tabs>
          <w:tab w:val="num" w:pos="720"/>
        </w:tabs>
        <w:ind w:left="720" w:hanging="360"/>
      </w:pPr>
      <w:rPr>
        <w:rFonts w:ascii="Arial" w:hAnsi="Arial" w:hint="default"/>
      </w:rPr>
    </w:lvl>
    <w:lvl w:ilvl="1" w:tplc="87AA15BC" w:tentative="1">
      <w:start w:val="1"/>
      <w:numFmt w:val="bullet"/>
      <w:lvlText w:val="•"/>
      <w:lvlJc w:val="left"/>
      <w:pPr>
        <w:tabs>
          <w:tab w:val="num" w:pos="1440"/>
        </w:tabs>
        <w:ind w:left="1440" w:hanging="360"/>
      </w:pPr>
      <w:rPr>
        <w:rFonts w:ascii="Arial" w:hAnsi="Arial" w:hint="default"/>
      </w:rPr>
    </w:lvl>
    <w:lvl w:ilvl="2" w:tplc="23689EE6" w:tentative="1">
      <w:start w:val="1"/>
      <w:numFmt w:val="bullet"/>
      <w:lvlText w:val="•"/>
      <w:lvlJc w:val="left"/>
      <w:pPr>
        <w:tabs>
          <w:tab w:val="num" w:pos="2160"/>
        </w:tabs>
        <w:ind w:left="2160" w:hanging="360"/>
      </w:pPr>
      <w:rPr>
        <w:rFonts w:ascii="Arial" w:hAnsi="Arial" w:hint="default"/>
      </w:rPr>
    </w:lvl>
    <w:lvl w:ilvl="3" w:tplc="8342E57A" w:tentative="1">
      <w:start w:val="1"/>
      <w:numFmt w:val="bullet"/>
      <w:lvlText w:val="•"/>
      <w:lvlJc w:val="left"/>
      <w:pPr>
        <w:tabs>
          <w:tab w:val="num" w:pos="2880"/>
        </w:tabs>
        <w:ind w:left="2880" w:hanging="360"/>
      </w:pPr>
      <w:rPr>
        <w:rFonts w:ascii="Arial" w:hAnsi="Arial" w:hint="default"/>
      </w:rPr>
    </w:lvl>
    <w:lvl w:ilvl="4" w:tplc="0CB4D944" w:tentative="1">
      <w:start w:val="1"/>
      <w:numFmt w:val="bullet"/>
      <w:lvlText w:val="•"/>
      <w:lvlJc w:val="left"/>
      <w:pPr>
        <w:tabs>
          <w:tab w:val="num" w:pos="3600"/>
        </w:tabs>
        <w:ind w:left="3600" w:hanging="360"/>
      </w:pPr>
      <w:rPr>
        <w:rFonts w:ascii="Arial" w:hAnsi="Arial" w:hint="default"/>
      </w:rPr>
    </w:lvl>
    <w:lvl w:ilvl="5" w:tplc="7D549D98" w:tentative="1">
      <w:start w:val="1"/>
      <w:numFmt w:val="bullet"/>
      <w:lvlText w:val="•"/>
      <w:lvlJc w:val="left"/>
      <w:pPr>
        <w:tabs>
          <w:tab w:val="num" w:pos="4320"/>
        </w:tabs>
        <w:ind w:left="4320" w:hanging="360"/>
      </w:pPr>
      <w:rPr>
        <w:rFonts w:ascii="Arial" w:hAnsi="Arial" w:hint="default"/>
      </w:rPr>
    </w:lvl>
    <w:lvl w:ilvl="6" w:tplc="779AC1DE" w:tentative="1">
      <w:start w:val="1"/>
      <w:numFmt w:val="bullet"/>
      <w:lvlText w:val="•"/>
      <w:lvlJc w:val="left"/>
      <w:pPr>
        <w:tabs>
          <w:tab w:val="num" w:pos="5040"/>
        </w:tabs>
        <w:ind w:left="5040" w:hanging="360"/>
      </w:pPr>
      <w:rPr>
        <w:rFonts w:ascii="Arial" w:hAnsi="Arial" w:hint="default"/>
      </w:rPr>
    </w:lvl>
    <w:lvl w:ilvl="7" w:tplc="DFAA426E" w:tentative="1">
      <w:start w:val="1"/>
      <w:numFmt w:val="bullet"/>
      <w:lvlText w:val="•"/>
      <w:lvlJc w:val="left"/>
      <w:pPr>
        <w:tabs>
          <w:tab w:val="num" w:pos="5760"/>
        </w:tabs>
        <w:ind w:left="5760" w:hanging="360"/>
      </w:pPr>
      <w:rPr>
        <w:rFonts w:ascii="Arial" w:hAnsi="Arial" w:hint="default"/>
      </w:rPr>
    </w:lvl>
    <w:lvl w:ilvl="8" w:tplc="F690B42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347186A"/>
    <w:multiLevelType w:val="hybridMultilevel"/>
    <w:tmpl w:val="AAE0F292"/>
    <w:lvl w:ilvl="0" w:tplc="63042BFA">
      <w:start w:val="1"/>
      <w:numFmt w:val="bullet"/>
      <w:lvlText w:val="•"/>
      <w:lvlJc w:val="left"/>
      <w:pPr>
        <w:tabs>
          <w:tab w:val="num" w:pos="720"/>
        </w:tabs>
        <w:ind w:left="720" w:hanging="360"/>
      </w:pPr>
      <w:rPr>
        <w:rFonts w:ascii="Arial" w:hAnsi="Arial" w:hint="default"/>
      </w:rPr>
    </w:lvl>
    <w:lvl w:ilvl="1" w:tplc="80AA80CE" w:tentative="1">
      <w:start w:val="1"/>
      <w:numFmt w:val="bullet"/>
      <w:lvlText w:val="•"/>
      <w:lvlJc w:val="left"/>
      <w:pPr>
        <w:tabs>
          <w:tab w:val="num" w:pos="1440"/>
        </w:tabs>
        <w:ind w:left="1440" w:hanging="360"/>
      </w:pPr>
      <w:rPr>
        <w:rFonts w:ascii="Arial" w:hAnsi="Arial" w:hint="default"/>
      </w:rPr>
    </w:lvl>
    <w:lvl w:ilvl="2" w:tplc="CC5C949E" w:tentative="1">
      <w:start w:val="1"/>
      <w:numFmt w:val="bullet"/>
      <w:lvlText w:val="•"/>
      <w:lvlJc w:val="left"/>
      <w:pPr>
        <w:tabs>
          <w:tab w:val="num" w:pos="2160"/>
        </w:tabs>
        <w:ind w:left="2160" w:hanging="360"/>
      </w:pPr>
      <w:rPr>
        <w:rFonts w:ascii="Arial" w:hAnsi="Arial" w:hint="default"/>
      </w:rPr>
    </w:lvl>
    <w:lvl w:ilvl="3" w:tplc="1EA2B016" w:tentative="1">
      <w:start w:val="1"/>
      <w:numFmt w:val="bullet"/>
      <w:lvlText w:val="•"/>
      <w:lvlJc w:val="left"/>
      <w:pPr>
        <w:tabs>
          <w:tab w:val="num" w:pos="2880"/>
        </w:tabs>
        <w:ind w:left="2880" w:hanging="360"/>
      </w:pPr>
      <w:rPr>
        <w:rFonts w:ascii="Arial" w:hAnsi="Arial" w:hint="default"/>
      </w:rPr>
    </w:lvl>
    <w:lvl w:ilvl="4" w:tplc="AF782316" w:tentative="1">
      <w:start w:val="1"/>
      <w:numFmt w:val="bullet"/>
      <w:lvlText w:val="•"/>
      <w:lvlJc w:val="left"/>
      <w:pPr>
        <w:tabs>
          <w:tab w:val="num" w:pos="3600"/>
        </w:tabs>
        <w:ind w:left="3600" w:hanging="360"/>
      </w:pPr>
      <w:rPr>
        <w:rFonts w:ascii="Arial" w:hAnsi="Arial" w:hint="default"/>
      </w:rPr>
    </w:lvl>
    <w:lvl w:ilvl="5" w:tplc="5B401F06" w:tentative="1">
      <w:start w:val="1"/>
      <w:numFmt w:val="bullet"/>
      <w:lvlText w:val="•"/>
      <w:lvlJc w:val="left"/>
      <w:pPr>
        <w:tabs>
          <w:tab w:val="num" w:pos="4320"/>
        </w:tabs>
        <w:ind w:left="4320" w:hanging="360"/>
      </w:pPr>
      <w:rPr>
        <w:rFonts w:ascii="Arial" w:hAnsi="Arial" w:hint="default"/>
      </w:rPr>
    </w:lvl>
    <w:lvl w:ilvl="6" w:tplc="6D968E68" w:tentative="1">
      <w:start w:val="1"/>
      <w:numFmt w:val="bullet"/>
      <w:lvlText w:val="•"/>
      <w:lvlJc w:val="left"/>
      <w:pPr>
        <w:tabs>
          <w:tab w:val="num" w:pos="5040"/>
        </w:tabs>
        <w:ind w:left="5040" w:hanging="360"/>
      </w:pPr>
      <w:rPr>
        <w:rFonts w:ascii="Arial" w:hAnsi="Arial" w:hint="default"/>
      </w:rPr>
    </w:lvl>
    <w:lvl w:ilvl="7" w:tplc="932A3046" w:tentative="1">
      <w:start w:val="1"/>
      <w:numFmt w:val="bullet"/>
      <w:lvlText w:val="•"/>
      <w:lvlJc w:val="left"/>
      <w:pPr>
        <w:tabs>
          <w:tab w:val="num" w:pos="5760"/>
        </w:tabs>
        <w:ind w:left="5760" w:hanging="360"/>
      </w:pPr>
      <w:rPr>
        <w:rFonts w:ascii="Arial" w:hAnsi="Arial" w:hint="default"/>
      </w:rPr>
    </w:lvl>
    <w:lvl w:ilvl="8" w:tplc="7370018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6984CB1"/>
    <w:multiLevelType w:val="hybridMultilevel"/>
    <w:tmpl w:val="B32AD520"/>
    <w:lvl w:ilvl="0" w:tplc="E86AE4F8">
      <w:start w:val="1"/>
      <w:numFmt w:val="bullet"/>
      <w:lvlText w:val=""/>
      <w:lvlJc w:val="left"/>
      <w:pPr>
        <w:tabs>
          <w:tab w:val="num" w:pos="720"/>
        </w:tabs>
        <w:ind w:left="720" w:hanging="360"/>
      </w:pPr>
      <w:rPr>
        <w:rFonts w:ascii="Wingdings 2" w:hAnsi="Wingdings 2" w:hint="default"/>
      </w:rPr>
    </w:lvl>
    <w:lvl w:ilvl="1" w:tplc="BCA0DAB0" w:tentative="1">
      <w:start w:val="1"/>
      <w:numFmt w:val="bullet"/>
      <w:lvlText w:val=""/>
      <w:lvlJc w:val="left"/>
      <w:pPr>
        <w:tabs>
          <w:tab w:val="num" w:pos="1440"/>
        </w:tabs>
        <w:ind w:left="1440" w:hanging="360"/>
      </w:pPr>
      <w:rPr>
        <w:rFonts w:ascii="Wingdings 2" w:hAnsi="Wingdings 2" w:hint="default"/>
      </w:rPr>
    </w:lvl>
    <w:lvl w:ilvl="2" w:tplc="35E4D26E" w:tentative="1">
      <w:start w:val="1"/>
      <w:numFmt w:val="bullet"/>
      <w:lvlText w:val=""/>
      <w:lvlJc w:val="left"/>
      <w:pPr>
        <w:tabs>
          <w:tab w:val="num" w:pos="2160"/>
        </w:tabs>
        <w:ind w:left="2160" w:hanging="360"/>
      </w:pPr>
      <w:rPr>
        <w:rFonts w:ascii="Wingdings 2" w:hAnsi="Wingdings 2" w:hint="default"/>
      </w:rPr>
    </w:lvl>
    <w:lvl w:ilvl="3" w:tplc="698CAFCA" w:tentative="1">
      <w:start w:val="1"/>
      <w:numFmt w:val="bullet"/>
      <w:lvlText w:val=""/>
      <w:lvlJc w:val="left"/>
      <w:pPr>
        <w:tabs>
          <w:tab w:val="num" w:pos="2880"/>
        </w:tabs>
        <w:ind w:left="2880" w:hanging="360"/>
      </w:pPr>
      <w:rPr>
        <w:rFonts w:ascii="Wingdings 2" w:hAnsi="Wingdings 2" w:hint="default"/>
      </w:rPr>
    </w:lvl>
    <w:lvl w:ilvl="4" w:tplc="644E8266" w:tentative="1">
      <w:start w:val="1"/>
      <w:numFmt w:val="bullet"/>
      <w:lvlText w:val=""/>
      <w:lvlJc w:val="left"/>
      <w:pPr>
        <w:tabs>
          <w:tab w:val="num" w:pos="3600"/>
        </w:tabs>
        <w:ind w:left="3600" w:hanging="360"/>
      </w:pPr>
      <w:rPr>
        <w:rFonts w:ascii="Wingdings 2" w:hAnsi="Wingdings 2" w:hint="default"/>
      </w:rPr>
    </w:lvl>
    <w:lvl w:ilvl="5" w:tplc="1DB05564" w:tentative="1">
      <w:start w:val="1"/>
      <w:numFmt w:val="bullet"/>
      <w:lvlText w:val=""/>
      <w:lvlJc w:val="left"/>
      <w:pPr>
        <w:tabs>
          <w:tab w:val="num" w:pos="4320"/>
        </w:tabs>
        <w:ind w:left="4320" w:hanging="360"/>
      </w:pPr>
      <w:rPr>
        <w:rFonts w:ascii="Wingdings 2" w:hAnsi="Wingdings 2" w:hint="default"/>
      </w:rPr>
    </w:lvl>
    <w:lvl w:ilvl="6" w:tplc="32B0DF82" w:tentative="1">
      <w:start w:val="1"/>
      <w:numFmt w:val="bullet"/>
      <w:lvlText w:val=""/>
      <w:lvlJc w:val="left"/>
      <w:pPr>
        <w:tabs>
          <w:tab w:val="num" w:pos="5040"/>
        </w:tabs>
        <w:ind w:left="5040" w:hanging="360"/>
      </w:pPr>
      <w:rPr>
        <w:rFonts w:ascii="Wingdings 2" w:hAnsi="Wingdings 2" w:hint="default"/>
      </w:rPr>
    </w:lvl>
    <w:lvl w:ilvl="7" w:tplc="069E3438" w:tentative="1">
      <w:start w:val="1"/>
      <w:numFmt w:val="bullet"/>
      <w:lvlText w:val=""/>
      <w:lvlJc w:val="left"/>
      <w:pPr>
        <w:tabs>
          <w:tab w:val="num" w:pos="5760"/>
        </w:tabs>
        <w:ind w:left="5760" w:hanging="360"/>
      </w:pPr>
      <w:rPr>
        <w:rFonts w:ascii="Wingdings 2" w:hAnsi="Wingdings 2" w:hint="default"/>
      </w:rPr>
    </w:lvl>
    <w:lvl w:ilvl="8" w:tplc="A88A2CE2"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28131E47"/>
    <w:multiLevelType w:val="hybridMultilevel"/>
    <w:tmpl w:val="85CEC132"/>
    <w:lvl w:ilvl="0" w:tplc="1D14F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8F3A6F"/>
    <w:multiLevelType w:val="hybridMultilevel"/>
    <w:tmpl w:val="625E0792"/>
    <w:lvl w:ilvl="0" w:tplc="CF8229F8">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E6244B"/>
    <w:multiLevelType w:val="hybridMultilevel"/>
    <w:tmpl w:val="042A0A62"/>
    <w:lvl w:ilvl="0" w:tplc="D57CA5B6">
      <w:start w:val="1"/>
      <w:numFmt w:val="bullet"/>
      <w:lvlText w:val="•"/>
      <w:lvlJc w:val="left"/>
      <w:pPr>
        <w:tabs>
          <w:tab w:val="num" w:pos="720"/>
        </w:tabs>
        <w:ind w:left="720" w:hanging="360"/>
      </w:pPr>
      <w:rPr>
        <w:rFonts w:ascii="Arial" w:hAnsi="Arial" w:hint="default"/>
      </w:rPr>
    </w:lvl>
    <w:lvl w:ilvl="1" w:tplc="DD1E4AA4" w:tentative="1">
      <w:start w:val="1"/>
      <w:numFmt w:val="bullet"/>
      <w:lvlText w:val="•"/>
      <w:lvlJc w:val="left"/>
      <w:pPr>
        <w:tabs>
          <w:tab w:val="num" w:pos="1440"/>
        </w:tabs>
        <w:ind w:left="1440" w:hanging="360"/>
      </w:pPr>
      <w:rPr>
        <w:rFonts w:ascii="Arial" w:hAnsi="Arial" w:hint="default"/>
      </w:rPr>
    </w:lvl>
    <w:lvl w:ilvl="2" w:tplc="C5362D54" w:tentative="1">
      <w:start w:val="1"/>
      <w:numFmt w:val="bullet"/>
      <w:lvlText w:val="•"/>
      <w:lvlJc w:val="left"/>
      <w:pPr>
        <w:tabs>
          <w:tab w:val="num" w:pos="2160"/>
        </w:tabs>
        <w:ind w:left="2160" w:hanging="360"/>
      </w:pPr>
      <w:rPr>
        <w:rFonts w:ascii="Arial" w:hAnsi="Arial" w:hint="default"/>
      </w:rPr>
    </w:lvl>
    <w:lvl w:ilvl="3" w:tplc="625CB8B4" w:tentative="1">
      <w:start w:val="1"/>
      <w:numFmt w:val="bullet"/>
      <w:lvlText w:val="•"/>
      <w:lvlJc w:val="left"/>
      <w:pPr>
        <w:tabs>
          <w:tab w:val="num" w:pos="2880"/>
        </w:tabs>
        <w:ind w:left="2880" w:hanging="360"/>
      </w:pPr>
      <w:rPr>
        <w:rFonts w:ascii="Arial" w:hAnsi="Arial" w:hint="default"/>
      </w:rPr>
    </w:lvl>
    <w:lvl w:ilvl="4" w:tplc="7E3A163C" w:tentative="1">
      <w:start w:val="1"/>
      <w:numFmt w:val="bullet"/>
      <w:lvlText w:val="•"/>
      <w:lvlJc w:val="left"/>
      <w:pPr>
        <w:tabs>
          <w:tab w:val="num" w:pos="3600"/>
        </w:tabs>
        <w:ind w:left="3600" w:hanging="360"/>
      </w:pPr>
      <w:rPr>
        <w:rFonts w:ascii="Arial" w:hAnsi="Arial" w:hint="default"/>
      </w:rPr>
    </w:lvl>
    <w:lvl w:ilvl="5" w:tplc="5DD2C912" w:tentative="1">
      <w:start w:val="1"/>
      <w:numFmt w:val="bullet"/>
      <w:lvlText w:val="•"/>
      <w:lvlJc w:val="left"/>
      <w:pPr>
        <w:tabs>
          <w:tab w:val="num" w:pos="4320"/>
        </w:tabs>
        <w:ind w:left="4320" w:hanging="360"/>
      </w:pPr>
      <w:rPr>
        <w:rFonts w:ascii="Arial" w:hAnsi="Arial" w:hint="default"/>
      </w:rPr>
    </w:lvl>
    <w:lvl w:ilvl="6" w:tplc="38CC6E28" w:tentative="1">
      <w:start w:val="1"/>
      <w:numFmt w:val="bullet"/>
      <w:lvlText w:val="•"/>
      <w:lvlJc w:val="left"/>
      <w:pPr>
        <w:tabs>
          <w:tab w:val="num" w:pos="5040"/>
        </w:tabs>
        <w:ind w:left="5040" w:hanging="360"/>
      </w:pPr>
      <w:rPr>
        <w:rFonts w:ascii="Arial" w:hAnsi="Arial" w:hint="default"/>
      </w:rPr>
    </w:lvl>
    <w:lvl w:ilvl="7" w:tplc="8D2A1B7C" w:tentative="1">
      <w:start w:val="1"/>
      <w:numFmt w:val="bullet"/>
      <w:lvlText w:val="•"/>
      <w:lvlJc w:val="left"/>
      <w:pPr>
        <w:tabs>
          <w:tab w:val="num" w:pos="5760"/>
        </w:tabs>
        <w:ind w:left="5760" w:hanging="360"/>
      </w:pPr>
      <w:rPr>
        <w:rFonts w:ascii="Arial" w:hAnsi="Arial" w:hint="default"/>
      </w:rPr>
    </w:lvl>
    <w:lvl w:ilvl="8" w:tplc="BAC0E86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AB15462"/>
    <w:multiLevelType w:val="hybridMultilevel"/>
    <w:tmpl w:val="11D67C84"/>
    <w:lvl w:ilvl="0" w:tplc="5120A280">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ABD32A3"/>
    <w:multiLevelType w:val="hybridMultilevel"/>
    <w:tmpl w:val="CB48325E"/>
    <w:lvl w:ilvl="0" w:tplc="5120A280">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D646A1D"/>
    <w:multiLevelType w:val="hybridMultilevel"/>
    <w:tmpl w:val="4EEC028C"/>
    <w:lvl w:ilvl="0" w:tplc="ACD61FEE">
      <w:start w:val="1"/>
      <w:numFmt w:val="upperRoman"/>
      <w:lvlText w:val="%1."/>
      <w:lvlJc w:val="left"/>
      <w:pPr>
        <w:ind w:left="420" w:hanging="420"/>
      </w:pPr>
      <w:rPr>
        <w:rFonts w:ascii="Times New Roman" w:hAnsi="Times New Roman"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D1F541D"/>
    <w:multiLevelType w:val="hybridMultilevel"/>
    <w:tmpl w:val="436AC8E4"/>
    <w:lvl w:ilvl="0" w:tplc="6E5654F0">
      <w:start w:val="1"/>
      <w:numFmt w:val="bullet"/>
      <w:lvlText w:val="•"/>
      <w:lvlJc w:val="left"/>
      <w:pPr>
        <w:tabs>
          <w:tab w:val="num" w:pos="720"/>
        </w:tabs>
        <w:ind w:left="720" w:hanging="360"/>
      </w:pPr>
      <w:rPr>
        <w:rFonts w:ascii="Arial" w:hAnsi="Arial" w:hint="default"/>
      </w:rPr>
    </w:lvl>
    <w:lvl w:ilvl="1" w:tplc="D7E05B92" w:tentative="1">
      <w:start w:val="1"/>
      <w:numFmt w:val="bullet"/>
      <w:lvlText w:val="•"/>
      <w:lvlJc w:val="left"/>
      <w:pPr>
        <w:tabs>
          <w:tab w:val="num" w:pos="1440"/>
        </w:tabs>
        <w:ind w:left="1440" w:hanging="360"/>
      </w:pPr>
      <w:rPr>
        <w:rFonts w:ascii="Arial" w:hAnsi="Arial" w:hint="default"/>
      </w:rPr>
    </w:lvl>
    <w:lvl w:ilvl="2" w:tplc="654465B8" w:tentative="1">
      <w:start w:val="1"/>
      <w:numFmt w:val="bullet"/>
      <w:lvlText w:val="•"/>
      <w:lvlJc w:val="left"/>
      <w:pPr>
        <w:tabs>
          <w:tab w:val="num" w:pos="2160"/>
        </w:tabs>
        <w:ind w:left="2160" w:hanging="360"/>
      </w:pPr>
      <w:rPr>
        <w:rFonts w:ascii="Arial" w:hAnsi="Arial" w:hint="default"/>
      </w:rPr>
    </w:lvl>
    <w:lvl w:ilvl="3" w:tplc="CBDE9CFC" w:tentative="1">
      <w:start w:val="1"/>
      <w:numFmt w:val="bullet"/>
      <w:lvlText w:val="•"/>
      <w:lvlJc w:val="left"/>
      <w:pPr>
        <w:tabs>
          <w:tab w:val="num" w:pos="2880"/>
        </w:tabs>
        <w:ind w:left="2880" w:hanging="360"/>
      </w:pPr>
      <w:rPr>
        <w:rFonts w:ascii="Arial" w:hAnsi="Arial" w:hint="default"/>
      </w:rPr>
    </w:lvl>
    <w:lvl w:ilvl="4" w:tplc="1FE63556" w:tentative="1">
      <w:start w:val="1"/>
      <w:numFmt w:val="bullet"/>
      <w:lvlText w:val="•"/>
      <w:lvlJc w:val="left"/>
      <w:pPr>
        <w:tabs>
          <w:tab w:val="num" w:pos="3600"/>
        </w:tabs>
        <w:ind w:left="3600" w:hanging="360"/>
      </w:pPr>
      <w:rPr>
        <w:rFonts w:ascii="Arial" w:hAnsi="Arial" w:hint="default"/>
      </w:rPr>
    </w:lvl>
    <w:lvl w:ilvl="5" w:tplc="7C5671EE" w:tentative="1">
      <w:start w:val="1"/>
      <w:numFmt w:val="bullet"/>
      <w:lvlText w:val="•"/>
      <w:lvlJc w:val="left"/>
      <w:pPr>
        <w:tabs>
          <w:tab w:val="num" w:pos="4320"/>
        </w:tabs>
        <w:ind w:left="4320" w:hanging="360"/>
      </w:pPr>
      <w:rPr>
        <w:rFonts w:ascii="Arial" w:hAnsi="Arial" w:hint="default"/>
      </w:rPr>
    </w:lvl>
    <w:lvl w:ilvl="6" w:tplc="1A64E196" w:tentative="1">
      <w:start w:val="1"/>
      <w:numFmt w:val="bullet"/>
      <w:lvlText w:val="•"/>
      <w:lvlJc w:val="left"/>
      <w:pPr>
        <w:tabs>
          <w:tab w:val="num" w:pos="5040"/>
        </w:tabs>
        <w:ind w:left="5040" w:hanging="360"/>
      </w:pPr>
      <w:rPr>
        <w:rFonts w:ascii="Arial" w:hAnsi="Arial" w:hint="default"/>
      </w:rPr>
    </w:lvl>
    <w:lvl w:ilvl="7" w:tplc="F1FE402A" w:tentative="1">
      <w:start w:val="1"/>
      <w:numFmt w:val="bullet"/>
      <w:lvlText w:val="•"/>
      <w:lvlJc w:val="left"/>
      <w:pPr>
        <w:tabs>
          <w:tab w:val="num" w:pos="5760"/>
        </w:tabs>
        <w:ind w:left="5760" w:hanging="360"/>
      </w:pPr>
      <w:rPr>
        <w:rFonts w:ascii="Arial" w:hAnsi="Arial" w:hint="default"/>
      </w:rPr>
    </w:lvl>
    <w:lvl w:ilvl="8" w:tplc="F8D6C9B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FA648A3"/>
    <w:multiLevelType w:val="hybridMultilevel"/>
    <w:tmpl w:val="BC6284A0"/>
    <w:lvl w:ilvl="0" w:tplc="C3F2C3A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2A84CFE"/>
    <w:multiLevelType w:val="hybridMultilevel"/>
    <w:tmpl w:val="C92E845E"/>
    <w:lvl w:ilvl="0" w:tplc="6BE480C8">
      <w:start w:val="1"/>
      <w:numFmt w:val="bullet"/>
      <w:lvlText w:val="•"/>
      <w:lvlJc w:val="left"/>
      <w:pPr>
        <w:tabs>
          <w:tab w:val="num" w:pos="720"/>
        </w:tabs>
        <w:ind w:left="720" w:hanging="360"/>
      </w:pPr>
      <w:rPr>
        <w:rFonts w:ascii="Arial" w:hAnsi="Arial" w:hint="default"/>
      </w:rPr>
    </w:lvl>
    <w:lvl w:ilvl="1" w:tplc="F16C8240" w:tentative="1">
      <w:start w:val="1"/>
      <w:numFmt w:val="bullet"/>
      <w:lvlText w:val="•"/>
      <w:lvlJc w:val="left"/>
      <w:pPr>
        <w:tabs>
          <w:tab w:val="num" w:pos="1440"/>
        </w:tabs>
        <w:ind w:left="1440" w:hanging="360"/>
      </w:pPr>
      <w:rPr>
        <w:rFonts w:ascii="Arial" w:hAnsi="Arial" w:hint="default"/>
      </w:rPr>
    </w:lvl>
    <w:lvl w:ilvl="2" w:tplc="6D909D44" w:tentative="1">
      <w:start w:val="1"/>
      <w:numFmt w:val="bullet"/>
      <w:lvlText w:val="•"/>
      <w:lvlJc w:val="left"/>
      <w:pPr>
        <w:tabs>
          <w:tab w:val="num" w:pos="2160"/>
        </w:tabs>
        <w:ind w:left="2160" w:hanging="360"/>
      </w:pPr>
      <w:rPr>
        <w:rFonts w:ascii="Arial" w:hAnsi="Arial" w:hint="default"/>
      </w:rPr>
    </w:lvl>
    <w:lvl w:ilvl="3" w:tplc="9EF6ADC2" w:tentative="1">
      <w:start w:val="1"/>
      <w:numFmt w:val="bullet"/>
      <w:lvlText w:val="•"/>
      <w:lvlJc w:val="left"/>
      <w:pPr>
        <w:tabs>
          <w:tab w:val="num" w:pos="2880"/>
        </w:tabs>
        <w:ind w:left="2880" w:hanging="360"/>
      </w:pPr>
      <w:rPr>
        <w:rFonts w:ascii="Arial" w:hAnsi="Arial" w:hint="default"/>
      </w:rPr>
    </w:lvl>
    <w:lvl w:ilvl="4" w:tplc="9AB208AC" w:tentative="1">
      <w:start w:val="1"/>
      <w:numFmt w:val="bullet"/>
      <w:lvlText w:val="•"/>
      <w:lvlJc w:val="left"/>
      <w:pPr>
        <w:tabs>
          <w:tab w:val="num" w:pos="3600"/>
        </w:tabs>
        <w:ind w:left="3600" w:hanging="360"/>
      </w:pPr>
      <w:rPr>
        <w:rFonts w:ascii="Arial" w:hAnsi="Arial" w:hint="default"/>
      </w:rPr>
    </w:lvl>
    <w:lvl w:ilvl="5" w:tplc="FEA6B3C0" w:tentative="1">
      <w:start w:val="1"/>
      <w:numFmt w:val="bullet"/>
      <w:lvlText w:val="•"/>
      <w:lvlJc w:val="left"/>
      <w:pPr>
        <w:tabs>
          <w:tab w:val="num" w:pos="4320"/>
        </w:tabs>
        <w:ind w:left="4320" w:hanging="360"/>
      </w:pPr>
      <w:rPr>
        <w:rFonts w:ascii="Arial" w:hAnsi="Arial" w:hint="default"/>
      </w:rPr>
    </w:lvl>
    <w:lvl w:ilvl="6" w:tplc="74346326" w:tentative="1">
      <w:start w:val="1"/>
      <w:numFmt w:val="bullet"/>
      <w:lvlText w:val="•"/>
      <w:lvlJc w:val="left"/>
      <w:pPr>
        <w:tabs>
          <w:tab w:val="num" w:pos="5040"/>
        </w:tabs>
        <w:ind w:left="5040" w:hanging="360"/>
      </w:pPr>
      <w:rPr>
        <w:rFonts w:ascii="Arial" w:hAnsi="Arial" w:hint="default"/>
      </w:rPr>
    </w:lvl>
    <w:lvl w:ilvl="7" w:tplc="3EB04756" w:tentative="1">
      <w:start w:val="1"/>
      <w:numFmt w:val="bullet"/>
      <w:lvlText w:val="•"/>
      <w:lvlJc w:val="left"/>
      <w:pPr>
        <w:tabs>
          <w:tab w:val="num" w:pos="5760"/>
        </w:tabs>
        <w:ind w:left="5760" w:hanging="360"/>
      </w:pPr>
      <w:rPr>
        <w:rFonts w:ascii="Arial" w:hAnsi="Arial" w:hint="default"/>
      </w:rPr>
    </w:lvl>
    <w:lvl w:ilvl="8" w:tplc="3F5893D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4CB42B1"/>
    <w:multiLevelType w:val="hybridMultilevel"/>
    <w:tmpl w:val="A2A666BE"/>
    <w:lvl w:ilvl="0" w:tplc="ECF4E376">
      <w:start w:val="1"/>
      <w:numFmt w:val="bullet"/>
      <w:lvlText w:val="•"/>
      <w:lvlJc w:val="left"/>
      <w:pPr>
        <w:tabs>
          <w:tab w:val="num" w:pos="720"/>
        </w:tabs>
        <w:ind w:left="720" w:hanging="360"/>
      </w:pPr>
      <w:rPr>
        <w:rFonts w:ascii="Arial" w:hAnsi="Arial" w:hint="default"/>
      </w:rPr>
    </w:lvl>
    <w:lvl w:ilvl="1" w:tplc="C6E27624" w:tentative="1">
      <w:start w:val="1"/>
      <w:numFmt w:val="bullet"/>
      <w:lvlText w:val="•"/>
      <w:lvlJc w:val="left"/>
      <w:pPr>
        <w:tabs>
          <w:tab w:val="num" w:pos="1440"/>
        </w:tabs>
        <w:ind w:left="1440" w:hanging="360"/>
      </w:pPr>
      <w:rPr>
        <w:rFonts w:ascii="Arial" w:hAnsi="Arial" w:hint="default"/>
      </w:rPr>
    </w:lvl>
    <w:lvl w:ilvl="2" w:tplc="B36A6ECC" w:tentative="1">
      <w:start w:val="1"/>
      <w:numFmt w:val="bullet"/>
      <w:lvlText w:val="•"/>
      <w:lvlJc w:val="left"/>
      <w:pPr>
        <w:tabs>
          <w:tab w:val="num" w:pos="2160"/>
        </w:tabs>
        <w:ind w:left="2160" w:hanging="360"/>
      </w:pPr>
      <w:rPr>
        <w:rFonts w:ascii="Arial" w:hAnsi="Arial" w:hint="default"/>
      </w:rPr>
    </w:lvl>
    <w:lvl w:ilvl="3" w:tplc="28A48D86" w:tentative="1">
      <w:start w:val="1"/>
      <w:numFmt w:val="bullet"/>
      <w:lvlText w:val="•"/>
      <w:lvlJc w:val="left"/>
      <w:pPr>
        <w:tabs>
          <w:tab w:val="num" w:pos="2880"/>
        </w:tabs>
        <w:ind w:left="2880" w:hanging="360"/>
      </w:pPr>
      <w:rPr>
        <w:rFonts w:ascii="Arial" w:hAnsi="Arial" w:hint="default"/>
      </w:rPr>
    </w:lvl>
    <w:lvl w:ilvl="4" w:tplc="C9647E38" w:tentative="1">
      <w:start w:val="1"/>
      <w:numFmt w:val="bullet"/>
      <w:lvlText w:val="•"/>
      <w:lvlJc w:val="left"/>
      <w:pPr>
        <w:tabs>
          <w:tab w:val="num" w:pos="3600"/>
        </w:tabs>
        <w:ind w:left="3600" w:hanging="360"/>
      </w:pPr>
      <w:rPr>
        <w:rFonts w:ascii="Arial" w:hAnsi="Arial" w:hint="default"/>
      </w:rPr>
    </w:lvl>
    <w:lvl w:ilvl="5" w:tplc="AF3C2E38" w:tentative="1">
      <w:start w:val="1"/>
      <w:numFmt w:val="bullet"/>
      <w:lvlText w:val="•"/>
      <w:lvlJc w:val="left"/>
      <w:pPr>
        <w:tabs>
          <w:tab w:val="num" w:pos="4320"/>
        </w:tabs>
        <w:ind w:left="4320" w:hanging="360"/>
      </w:pPr>
      <w:rPr>
        <w:rFonts w:ascii="Arial" w:hAnsi="Arial" w:hint="default"/>
      </w:rPr>
    </w:lvl>
    <w:lvl w:ilvl="6" w:tplc="9D38F7A6" w:tentative="1">
      <w:start w:val="1"/>
      <w:numFmt w:val="bullet"/>
      <w:lvlText w:val="•"/>
      <w:lvlJc w:val="left"/>
      <w:pPr>
        <w:tabs>
          <w:tab w:val="num" w:pos="5040"/>
        </w:tabs>
        <w:ind w:left="5040" w:hanging="360"/>
      </w:pPr>
      <w:rPr>
        <w:rFonts w:ascii="Arial" w:hAnsi="Arial" w:hint="default"/>
      </w:rPr>
    </w:lvl>
    <w:lvl w:ilvl="7" w:tplc="43881640" w:tentative="1">
      <w:start w:val="1"/>
      <w:numFmt w:val="bullet"/>
      <w:lvlText w:val="•"/>
      <w:lvlJc w:val="left"/>
      <w:pPr>
        <w:tabs>
          <w:tab w:val="num" w:pos="5760"/>
        </w:tabs>
        <w:ind w:left="5760" w:hanging="360"/>
      </w:pPr>
      <w:rPr>
        <w:rFonts w:ascii="Arial" w:hAnsi="Arial" w:hint="default"/>
      </w:rPr>
    </w:lvl>
    <w:lvl w:ilvl="8" w:tplc="DEDAD6C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5AD1EDB"/>
    <w:multiLevelType w:val="hybridMultilevel"/>
    <w:tmpl w:val="CF2ECA20"/>
    <w:lvl w:ilvl="0" w:tplc="E9A04390">
      <w:start w:val="1"/>
      <w:numFmt w:val="bullet"/>
      <w:lvlText w:val="•"/>
      <w:lvlJc w:val="left"/>
      <w:pPr>
        <w:tabs>
          <w:tab w:val="num" w:pos="720"/>
        </w:tabs>
        <w:ind w:left="720" w:hanging="360"/>
      </w:pPr>
      <w:rPr>
        <w:rFonts w:ascii="Arial" w:hAnsi="Arial" w:hint="default"/>
      </w:rPr>
    </w:lvl>
    <w:lvl w:ilvl="1" w:tplc="38347EE2" w:tentative="1">
      <w:start w:val="1"/>
      <w:numFmt w:val="bullet"/>
      <w:lvlText w:val="•"/>
      <w:lvlJc w:val="left"/>
      <w:pPr>
        <w:tabs>
          <w:tab w:val="num" w:pos="1440"/>
        </w:tabs>
        <w:ind w:left="1440" w:hanging="360"/>
      </w:pPr>
      <w:rPr>
        <w:rFonts w:ascii="Arial" w:hAnsi="Arial" w:hint="default"/>
      </w:rPr>
    </w:lvl>
    <w:lvl w:ilvl="2" w:tplc="03066C38" w:tentative="1">
      <w:start w:val="1"/>
      <w:numFmt w:val="bullet"/>
      <w:lvlText w:val="•"/>
      <w:lvlJc w:val="left"/>
      <w:pPr>
        <w:tabs>
          <w:tab w:val="num" w:pos="2160"/>
        </w:tabs>
        <w:ind w:left="2160" w:hanging="360"/>
      </w:pPr>
      <w:rPr>
        <w:rFonts w:ascii="Arial" w:hAnsi="Arial" w:hint="default"/>
      </w:rPr>
    </w:lvl>
    <w:lvl w:ilvl="3" w:tplc="36D6FA36" w:tentative="1">
      <w:start w:val="1"/>
      <w:numFmt w:val="bullet"/>
      <w:lvlText w:val="•"/>
      <w:lvlJc w:val="left"/>
      <w:pPr>
        <w:tabs>
          <w:tab w:val="num" w:pos="2880"/>
        </w:tabs>
        <w:ind w:left="2880" w:hanging="360"/>
      </w:pPr>
      <w:rPr>
        <w:rFonts w:ascii="Arial" w:hAnsi="Arial" w:hint="default"/>
      </w:rPr>
    </w:lvl>
    <w:lvl w:ilvl="4" w:tplc="AF1C58AA" w:tentative="1">
      <w:start w:val="1"/>
      <w:numFmt w:val="bullet"/>
      <w:lvlText w:val="•"/>
      <w:lvlJc w:val="left"/>
      <w:pPr>
        <w:tabs>
          <w:tab w:val="num" w:pos="3600"/>
        </w:tabs>
        <w:ind w:left="3600" w:hanging="360"/>
      </w:pPr>
      <w:rPr>
        <w:rFonts w:ascii="Arial" w:hAnsi="Arial" w:hint="default"/>
      </w:rPr>
    </w:lvl>
    <w:lvl w:ilvl="5" w:tplc="DF0C9156" w:tentative="1">
      <w:start w:val="1"/>
      <w:numFmt w:val="bullet"/>
      <w:lvlText w:val="•"/>
      <w:lvlJc w:val="left"/>
      <w:pPr>
        <w:tabs>
          <w:tab w:val="num" w:pos="4320"/>
        </w:tabs>
        <w:ind w:left="4320" w:hanging="360"/>
      </w:pPr>
      <w:rPr>
        <w:rFonts w:ascii="Arial" w:hAnsi="Arial" w:hint="default"/>
      </w:rPr>
    </w:lvl>
    <w:lvl w:ilvl="6" w:tplc="F900F812" w:tentative="1">
      <w:start w:val="1"/>
      <w:numFmt w:val="bullet"/>
      <w:lvlText w:val="•"/>
      <w:lvlJc w:val="left"/>
      <w:pPr>
        <w:tabs>
          <w:tab w:val="num" w:pos="5040"/>
        </w:tabs>
        <w:ind w:left="5040" w:hanging="360"/>
      </w:pPr>
      <w:rPr>
        <w:rFonts w:ascii="Arial" w:hAnsi="Arial" w:hint="default"/>
      </w:rPr>
    </w:lvl>
    <w:lvl w:ilvl="7" w:tplc="8904DAAE" w:tentative="1">
      <w:start w:val="1"/>
      <w:numFmt w:val="bullet"/>
      <w:lvlText w:val="•"/>
      <w:lvlJc w:val="left"/>
      <w:pPr>
        <w:tabs>
          <w:tab w:val="num" w:pos="5760"/>
        </w:tabs>
        <w:ind w:left="5760" w:hanging="360"/>
      </w:pPr>
      <w:rPr>
        <w:rFonts w:ascii="Arial" w:hAnsi="Arial" w:hint="default"/>
      </w:rPr>
    </w:lvl>
    <w:lvl w:ilvl="8" w:tplc="CCBAB7B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B366CAB"/>
    <w:multiLevelType w:val="hybridMultilevel"/>
    <w:tmpl w:val="623C3754"/>
    <w:lvl w:ilvl="0" w:tplc="1A3CB50C">
      <w:start w:val="1"/>
      <w:numFmt w:val="bullet"/>
      <w:lvlText w:val="•"/>
      <w:lvlJc w:val="left"/>
      <w:pPr>
        <w:tabs>
          <w:tab w:val="num" w:pos="720"/>
        </w:tabs>
        <w:ind w:left="720" w:hanging="360"/>
      </w:pPr>
      <w:rPr>
        <w:rFonts w:ascii="Arial" w:hAnsi="Arial" w:hint="default"/>
      </w:rPr>
    </w:lvl>
    <w:lvl w:ilvl="1" w:tplc="23189980" w:tentative="1">
      <w:start w:val="1"/>
      <w:numFmt w:val="bullet"/>
      <w:lvlText w:val="•"/>
      <w:lvlJc w:val="left"/>
      <w:pPr>
        <w:tabs>
          <w:tab w:val="num" w:pos="1440"/>
        </w:tabs>
        <w:ind w:left="1440" w:hanging="360"/>
      </w:pPr>
      <w:rPr>
        <w:rFonts w:ascii="Arial" w:hAnsi="Arial" w:hint="default"/>
      </w:rPr>
    </w:lvl>
    <w:lvl w:ilvl="2" w:tplc="63F63F40" w:tentative="1">
      <w:start w:val="1"/>
      <w:numFmt w:val="bullet"/>
      <w:lvlText w:val="•"/>
      <w:lvlJc w:val="left"/>
      <w:pPr>
        <w:tabs>
          <w:tab w:val="num" w:pos="2160"/>
        </w:tabs>
        <w:ind w:left="2160" w:hanging="360"/>
      </w:pPr>
      <w:rPr>
        <w:rFonts w:ascii="Arial" w:hAnsi="Arial" w:hint="default"/>
      </w:rPr>
    </w:lvl>
    <w:lvl w:ilvl="3" w:tplc="DE645EE4" w:tentative="1">
      <w:start w:val="1"/>
      <w:numFmt w:val="bullet"/>
      <w:lvlText w:val="•"/>
      <w:lvlJc w:val="left"/>
      <w:pPr>
        <w:tabs>
          <w:tab w:val="num" w:pos="2880"/>
        </w:tabs>
        <w:ind w:left="2880" w:hanging="360"/>
      </w:pPr>
      <w:rPr>
        <w:rFonts w:ascii="Arial" w:hAnsi="Arial" w:hint="default"/>
      </w:rPr>
    </w:lvl>
    <w:lvl w:ilvl="4" w:tplc="CDB42846" w:tentative="1">
      <w:start w:val="1"/>
      <w:numFmt w:val="bullet"/>
      <w:lvlText w:val="•"/>
      <w:lvlJc w:val="left"/>
      <w:pPr>
        <w:tabs>
          <w:tab w:val="num" w:pos="3600"/>
        </w:tabs>
        <w:ind w:left="3600" w:hanging="360"/>
      </w:pPr>
      <w:rPr>
        <w:rFonts w:ascii="Arial" w:hAnsi="Arial" w:hint="default"/>
      </w:rPr>
    </w:lvl>
    <w:lvl w:ilvl="5" w:tplc="4AA04D36" w:tentative="1">
      <w:start w:val="1"/>
      <w:numFmt w:val="bullet"/>
      <w:lvlText w:val="•"/>
      <w:lvlJc w:val="left"/>
      <w:pPr>
        <w:tabs>
          <w:tab w:val="num" w:pos="4320"/>
        </w:tabs>
        <w:ind w:left="4320" w:hanging="360"/>
      </w:pPr>
      <w:rPr>
        <w:rFonts w:ascii="Arial" w:hAnsi="Arial" w:hint="default"/>
      </w:rPr>
    </w:lvl>
    <w:lvl w:ilvl="6" w:tplc="79949878" w:tentative="1">
      <w:start w:val="1"/>
      <w:numFmt w:val="bullet"/>
      <w:lvlText w:val="•"/>
      <w:lvlJc w:val="left"/>
      <w:pPr>
        <w:tabs>
          <w:tab w:val="num" w:pos="5040"/>
        </w:tabs>
        <w:ind w:left="5040" w:hanging="360"/>
      </w:pPr>
      <w:rPr>
        <w:rFonts w:ascii="Arial" w:hAnsi="Arial" w:hint="default"/>
      </w:rPr>
    </w:lvl>
    <w:lvl w:ilvl="7" w:tplc="9F96E2A4" w:tentative="1">
      <w:start w:val="1"/>
      <w:numFmt w:val="bullet"/>
      <w:lvlText w:val="•"/>
      <w:lvlJc w:val="left"/>
      <w:pPr>
        <w:tabs>
          <w:tab w:val="num" w:pos="5760"/>
        </w:tabs>
        <w:ind w:left="5760" w:hanging="360"/>
      </w:pPr>
      <w:rPr>
        <w:rFonts w:ascii="Arial" w:hAnsi="Arial" w:hint="default"/>
      </w:rPr>
    </w:lvl>
    <w:lvl w:ilvl="8" w:tplc="6606514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54B3F52"/>
    <w:multiLevelType w:val="hybridMultilevel"/>
    <w:tmpl w:val="22543A3C"/>
    <w:lvl w:ilvl="0" w:tplc="9EC095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78F18DE"/>
    <w:multiLevelType w:val="hybridMultilevel"/>
    <w:tmpl w:val="42DC3E32"/>
    <w:lvl w:ilvl="0" w:tplc="5120A280">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A5A452B"/>
    <w:multiLevelType w:val="hybridMultilevel"/>
    <w:tmpl w:val="98103C7C"/>
    <w:lvl w:ilvl="0" w:tplc="D2720ED8">
      <w:start w:val="1"/>
      <w:numFmt w:val="bullet"/>
      <w:lvlText w:val=""/>
      <w:lvlJc w:val="left"/>
      <w:pPr>
        <w:tabs>
          <w:tab w:val="num" w:pos="720"/>
        </w:tabs>
        <w:ind w:left="720" w:hanging="360"/>
      </w:pPr>
      <w:rPr>
        <w:rFonts w:ascii="Wingdings 2" w:hAnsi="Wingdings 2" w:hint="default"/>
      </w:rPr>
    </w:lvl>
    <w:lvl w:ilvl="1" w:tplc="F3C0C9D0" w:tentative="1">
      <w:start w:val="1"/>
      <w:numFmt w:val="bullet"/>
      <w:lvlText w:val=""/>
      <w:lvlJc w:val="left"/>
      <w:pPr>
        <w:tabs>
          <w:tab w:val="num" w:pos="1440"/>
        </w:tabs>
        <w:ind w:left="1440" w:hanging="360"/>
      </w:pPr>
      <w:rPr>
        <w:rFonts w:ascii="Wingdings 2" w:hAnsi="Wingdings 2" w:hint="default"/>
      </w:rPr>
    </w:lvl>
    <w:lvl w:ilvl="2" w:tplc="CAACAEB2" w:tentative="1">
      <w:start w:val="1"/>
      <w:numFmt w:val="bullet"/>
      <w:lvlText w:val=""/>
      <w:lvlJc w:val="left"/>
      <w:pPr>
        <w:tabs>
          <w:tab w:val="num" w:pos="2160"/>
        </w:tabs>
        <w:ind w:left="2160" w:hanging="360"/>
      </w:pPr>
      <w:rPr>
        <w:rFonts w:ascii="Wingdings 2" w:hAnsi="Wingdings 2" w:hint="default"/>
      </w:rPr>
    </w:lvl>
    <w:lvl w:ilvl="3" w:tplc="6CBE241A" w:tentative="1">
      <w:start w:val="1"/>
      <w:numFmt w:val="bullet"/>
      <w:lvlText w:val=""/>
      <w:lvlJc w:val="left"/>
      <w:pPr>
        <w:tabs>
          <w:tab w:val="num" w:pos="2880"/>
        </w:tabs>
        <w:ind w:left="2880" w:hanging="360"/>
      </w:pPr>
      <w:rPr>
        <w:rFonts w:ascii="Wingdings 2" w:hAnsi="Wingdings 2" w:hint="default"/>
      </w:rPr>
    </w:lvl>
    <w:lvl w:ilvl="4" w:tplc="8480B046" w:tentative="1">
      <w:start w:val="1"/>
      <w:numFmt w:val="bullet"/>
      <w:lvlText w:val=""/>
      <w:lvlJc w:val="left"/>
      <w:pPr>
        <w:tabs>
          <w:tab w:val="num" w:pos="3600"/>
        </w:tabs>
        <w:ind w:left="3600" w:hanging="360"/>
      </w:pPr>
      <w:rPr>
        <w:rFonts w:ascii="Wingdings 2" w:hAnsi="Wingdings 2" w:hint="default"/>
      </w:rPr>
    </w:lvl>
    <w:lvl w:ilvl="5" w:tplc="1046CA46" w:tentative="1">
      <w:start w:val="1"/>
      <w:numFmt w:val="bullet"/>
      <w:lvlText w:val=""/>
      <w:lvlJc w:val="left"/>
      <w:pPr>
        <w:tabs>
          <w:tab w:val="num" w:pos="4320"/>
        </w:tabs>
        <w:ind w:left="4320" w:hanging="360"/>
      </w:pPr>
      <w:rPr>
        <w:rFonts w:ascii="Wingdings 2" w:hAnsi="Wingdings 2" w:hint="default"/>
      </w:rPr>
    </w:lvl>
    <w:lvl w:ilvl="6" w:tplc="5A0272F4" w:tentative="1">
      <w:start w:val="1"/>
      <w:numFmt w:val="bullet"/>
      <w:lvlText w:val=""/>
      <w:lvlJc w:val="left"/>
      <w:pPr>
        <w:tabs>
          <w:tab w:val="num" w:pos="5040"/>
        </w:tabs>
        <w:ind w:left="5040" w:hanging="360"/>
      </w:pPr>
      <w:rPr>
        <w:rFonts w:ascii="Wingdings 2" w:hAnsi="Wingdings 2" w:hint="default"/>
      </w:rPr>
    </w:lvl>
    <w:lvl w:ilvl="7" w:tplc="60063A60" w:tentative="1">
      <w:start w:val="1"/>
      <w:numFmt w:val="bullet"/>
      <w:lvlText w:val=""/>
      <w:lvlJc w:val="left"/>
      <w:pPr>
        <w:tabs>
          <w:tab w:val="num" w:pos="5760"/>
        </w:tabs>
        <w:ind w:left="5760" w:hanging="360"/>
      </w:pPr>
      <w:rPr>
        <w:rFonts w:ascii="Wingdings 2" w:hAnsi="Wingdings 2" w:hint="default"/>
      </w:rPr>
    </w:lvl>
    <w:lvl w:ilvl="8" w:tplc="F718150A"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737E6A77"/>
    <w:multiLevelType w:val="hybridMultilevel"/>
    <w:tmpl w:val="2C8EAF3A"/>
    <w:lvl w:ilvl="0" w:tplc="CF72BDB2">
      <w:start w:val="1"/>
      <w:numFmt w:val="bullet"/>
      <w:lvlText w:val=""/>
      <w:lvlJc w:val="left"/>
      <w:pPr>
        <w:tabs>
          <w:tab w:val="num" w:pos="720"/>
        </w:tabs>
        <w:ind w:left="720" w:hanging="360"/>
      </w:pPr>
      <w:rPr>
        <w:rFonts w:ascii="Wingdings 2" w:hAnsi="Wingdings 2" w:hint="default"/>
      </w:rPr>
    </w:lvl>
    <w:lvl w:ilvl="1" w:tplc="FB3484E6" w:tentative="1">
      <w:start w:val="1"/>
      <w:numFmt w:val="bullet"/>
      <w:lvlText w:val=""/>
      <w:lvlJc w:val="left"/>
      <w:pPr>
        <w:tabs>
          <w:tab w:val="num" w:pos="1440"/>
        </w:tabs>
        <w:ind w:left="1440" w:hanging="360"/>
      </w:pPr>
      <w:rPr>
        <w:rFonts w:ascii="Wingdings 2" w:hAnsi="Wingdings 2" w:hint="default"/>
      </w:rPr>
    </w:lvl>
    <w:lvl w:ilvl="2" w:tplc="09A6AA86" w:tentative="1">
      <w:start w:val="1"/>
      <w:numFmt w:val="bullet"/>
      <w:lvlText w:val=""/>
      <w:lvlJc w:val="left"/>
      <w:pPr>
        <w:tabs>
          <w:tab w:val="num" w:pos="2160"/>
        </w:tabs>
        <w:ind w:left="2160" w:hanging="360"/>
      </w:pPr>
      <w:rPr>
        <w:rFonts w:ascii="Wingdings 2" w:hAnsi="Wingdings 2" w:hint="default"/>
      </w:rPr>
    </w:lvl>
    <w:lvl w:ilvl="3" w:tplc="61E2AADE" w:tentative="1">
      <w:start w:val="1"/>
      <w:numFmt w:val="bullet"/>
      <w:lvlText w:val=""/>
      <w:lvlJc w:val="left"/>
      <w:pPr>
        <w:tabs>
          <w:tab w:val="num" w:pos="2880"/>
        </w:tabs>
        <w:ind w:left="2880" w:hanging="360"/>
      </w:pPr>
      <w:rPr>
        <w:rFonts w:ascii="Wingdings 2" w:hAnsi="Wingdings 2" w:hint="default"/>
      </w:rPr>
    </w:lvl>
    <w:lvl w:ilvl="4" w:tplc="8F82E7AC" w:tentative="1">
      <w:start w:val="1"/>
      <w:numFmt w:val="bullet"/>
      <w:lvlText w:val=""/>
      <w:lvlJc w:val="left"/>
      <w:pPr>
        <w:tabs>
          <w:tab w:val="num" w:pos="3600"/>
        </w:tabs>
        <w:ind w:left="3600" w:hanging="360"/>
      </w:pPr>
      <w:rPr>
        <w:rFonts w:ascii="Wingdings 2" w:hAnsi="Wingdings 2" w:hint="default"/>
      </w:rPr>
    </w:lvl>
    <w:lvl w:ilvl="5" w:tplc="3E3CF048" w:tentative="1">
      <w:start w:val="1"/>
      <w:numFmt w:val="bullet"/>
      <w:lvlText w:val=""/>
      <w:lvlJc w:val="left"/>
      <w:pPr>
        <w:tabs>
          <w:tab w:val="num" w:pos="4320"/>
        </w:tabs>
        <w:ind w:left="4320" w:hanging="360"/>
      </w:pPr>
      <w:rPr>
        <w:rFonts w:ascii="Wingdings 2" w:hAnsi="Wingdings 2" w:hint="default"/>
      </w:rPr>
    </w:lvl>
    <w:lvl w:ilvl="6" w:tplc="ACF8218C" w:tentative="1">
      <w:start w:val="1"/>
      <w:numFmt w:val="bullet"/>
      <w:lvlText w:val=""/>
      <w:lvlJc w:val="left"/>
      <w:pPr>
        <w:tabs>
          <w:tab w:val="num" w:pos="5040"/>
        </w:tabs>
        <w:ind w:left="5040" w:hanging="360"/>
      </w:pPr>
      <w:rPr>
        <w:rFonts w:ascii="Wingdings 2" w:hAnsi="Wingdings 2" w:hint="default"/>
      </w:rPr>
    </w:lvl>
    <w:lvl w:ilvl="7" w:tplc="49EC5800" w:tentative="1">
      <w:start w:val="1"/>
      <w:numFmt w:val="bullet"/>
      <w:lvlText w:val=""/>
      <w:lvlJc w:val="left"/>
      <w:pPr>
        <w:tabs>
          <w:tab w:val="num" w:pos="5760"/>
        </w:tabs>
        <w:ind w:left="5760" w:hanging="360"/>
      </w:pPr>
      <w:rPr>
        <w:rFonts w:ascii="Wingdings 2" w:hAnsi="Wingdings 2" w:hint="default"/>
      </w:rPr>
    </w:lvl>
    <w:lvl w:ilvl="8" w:tplc="79423570"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760E3B5B"/>
    <w:multiLevelType w:val="hybridMultilevel"/>
    <w:tmpl w:val="A1888920"/>
    <w:lvl w:ilvl="0" w:tplc="7D9A0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9BD087C"/>
    <w:multiLevelType w:val="hybridMultilevel"/>
    <w:tmpl w:val="A1888920"/>
    <w:lvl w:ilvl="0" w:tplc="7D9A0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D377D33"/>
    <w:multiLevelType w:val="hybridMultilevel"/>
    <w:tmpl w:val="DCF2CB14"/>
    <w:lvl w:ilvl="0" w:tplc="492C8B16">
      <w:start w:val="1"/>
      <w:numFmt w:val="bullet"/>
      <w:lvlText w:val="•"/>
      <w:lvlJc w:val="left"/>
      <w:pPr>
        <w:tabs>
          <w:tab w:val="num" w:pos="720"/>
        </w:tabs>
        <w:ind w:left="720" w:hanging="360"/>
      </w:pPr>
      <w:rPr>
        <w:rFonts w:ascii="Arial" w:hAnsi="Arial" w:hint="default"/>
      </w:rPr>
    </w:lvl>
    <w:lvl w:ilvl="1" w:tplc="34CAB6F8" w:tentative="1">
      <w:start w:val="1"/>
      <w:numFmt w:val="bullet"/>
      <w:lvlText w:val="•"/>
      <w:lvlJc w:val="left"/>
      <w:pPr>
        <w:tabs>
          <w:tab w:val="num" w:pos="1440"/>
        </w:tabs>
        <w:ind w:left="1440" w:hanging="360"/>
      </w:pPr>
      <w:rPr>
        <w:rFonts w:ascii="Arial" w:hAnsi="Arial" w:hint="default"/>
      </w:rPr>
    </w:lvl>
    <w:lvl w:ilvl="2" w:tplc="F0048468" w:tentative="1">
      <w:start w:val="1"/>
      <w:numFmt w:val="bullet"/>
      <w:lvlText w:val="•"/>
      <w:lvlJc w:val="left"/>
      <w:pPr>
        <w:tabs>
          <w:tab w:val="num" w:pos="2160"/>
        </w:tabs>
        <w:ind w:left="2160" w:hanging="360"/>
      </w:pPr>
      <w:rPr>
        <w:rFonts w:ascii="Arial" w:hAnsi="Arial" w:hint="default"/>
      </w:rPr>
    </w:lvl>
    <w:lvl w:ilvl="3" w:tplc="14288F0E" w:tentative="1">
      <w:start w:val="1"/>
      <w:numFmt w:val="bullet"/>
      <w:lvlText w:val="•"/>
      <w:lvlJc w:val="left"/>
      <w:pPr>
        <w:tabs>
          <w:tab w:val="num" w:pos="2880"/>
        </w:tabs>
        <w:ind w:left="2880" w:hanging="360"/>
      </w:pPr>
      <w:rPr>
        <w:rFonts w:ascii="Arial" w:hAnsi="Arial" w:hint="default"/>
      </w:rPr>
    </w:lvl>
    <w:lvl w:ilvl="4" w:tplc="7F520340" w:tentative="1">
      <w:start w:val="1"/>
      <w:numFmt w:val="bullet"/>
      <w:lvlText w:val="•"/>
      <w:lvlJc w:val="left"/>
      <w:pPr>
        <w:tabs>
          <w:tab w:val="num" w:pos="3600"/>
        </w:tabs>
        <w:ind w:left="3600" w:hanging="360"/>
      </w:pPr>
      <w:rPr>
        <w:rFonts w:ascii="Arial" w:hAnsi="Arial" w:hint="default"/>
      </w:rPr>
    </w:lvl>
    <w:lvl w:ilvl="5" w:tplc="F9F827B0" w:tentative="1">
      <w:start w:val="1"/>
      <w:numFmt w:val="bullet"/>
      <w:lvlText w:val="•"/>
      <w:lvlJc w:val="left"/>
      <w:pPr>
        <w:tabs>
          <w:tab w:val="num" w:pos="4320"/>
        </w:tabs>
        <w:ind w:left="4320" w:hanging="360"/>
      </w:pPr>
      <w:rPr>
        <w:rFonts w:ascii="Arial" w:hAnsi="Arial" w:hint="default"/>
      </w:rPr>
    </w:lvl>
    <w:lvl w:ilvl="6" w:tplc="E1E0E51C" w:tentative="1">
      <w:start w:val="1"/>
      <w:numFmt w:val="bullet"/>
      <w:lvlText w:val="•"/>
      <w:lvlJc w:val="left"/>
      <w:pPr>
        <w:tabs>
          <w:tab w:val="num" w:pos="5040"/>
        </w:tabs>
        <w:ind w:left="5040" w:hanging="360"/>
      </w:pPr>
      <w:rPr>
        <w:rFonts w:ascii="Arial" w:hAnsi="Arial" w:hint="default"/>
      </w:rPr>
    </w:lvl>
    <w:lvl w:ilvl="7" w:tplc="EC2C0008" w:tentative="1">
      <w:start w:val="1"/>
      <w:numFmt w:val="bullet"/>
      <w:lvlText w:val="•"/>
      <w:lvlJc w:val="left"/>
      <w:pPr>
        <w:tabs>
          <w:tab w:val="num" w:pos="5760"/>
        </w:tabs>
        <w:ind w:left="5760" w:hanging="360"/>
      </w:pPr>
      <w:rPr>
        <w:rFonts w:ascii="Arial" w:hAnsi="Arial" w:hint="default"/>
      </w:rPr>
    </w:lvl>
    <w:lvl w:ilvl="8" w:tplc="AFDAF44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FBE6816"/>
    <w:multiLevelType w:val="hybridMultilevel"/>
    <w:tmpl w:val="D79873B4"/>
    <w:lvl w:ilvl="0" w:tplc="28826AE4">
      <w:start w:val="1"/>
      <w:numFmt w:val="bullet"/>
      <w:lvlText w:val="•"/>
      <w:lvlJc w:val="left"/>
      <w:pPr>
        <w:tabs>
          <w:tab w:val="num" w:pos="720"/>
        </w:tabs>
        <w:ind w:left="720" w:hanging="360"/>
      </w:pPr>
      <w:rPr>
        <w:rFonts w:ascii="Arial" w:hAnsi="Arial" w:hint="default"/>
      </w:rPr>
    </w:lvl>
    <w:lvl w:ilvl="1" w:tplc="16C84828" w:tentative="1">
      <w:start w:val="1"/>
      <w:numFmt w:val="bullet"/>
      <w:lvlText w:val="•"/>
      <w:lvlJc w:val="left"/>
      <w:pPr>
        <w:tabs>
          <w:tab w:val="num" w:pos="1440"/>
        </w:tabs>
        <w:ind w:left="1440" w:hanging="360"/>
      </w:pPr>
      <w:rPr>
        <w:rFonts w:ascii="Arial" w:hAnsi="Arial" w:hint="default"/>
      </w:rPr>
    </w:lvl>
    <w:lvl w:ilvl="2" w:tplc="74D6D588" w:tentative="1">
      <w:start w:val="1"/>
      <w:numFmt w:val="bullet"/>
      <w:lvlText w:val="•"/>
      <w:lvlJc w:val="left"/>
      <w:pPr>
        <w:tabs>
          <w:tab w:val="num" w:pos="2160"/>
        </w:tabs>
        <w:ind w:left="2160" w:hanging="360"/>
      </w:pPr>
      <w:rPr>
        <w:rFonts w:ascii="Arial" w:hAnsi="Arial" w:hint="default"/>
      </w:rPr>
    </w:lvl>
    <w:lvl w:ilvl="3" w:tplc="73642FD0" w:tentative="1">
      <w:start w:val="1"/>
      <w:numFmt w:val="bullet"/>
      <w:lvlText w:val="•"/>
      <w:lvlJc w:val="left"/>
      <w:pPr>
        <w:tabs>
          <w:tab w:val="num" w:pos="2880"/>
        </w:tabs>
        <w:ind w:left="2880" w:hanging="360"/>
      </w:pPr>
      <w:rPr>
        <w:rFonts w:ascii="Arial" w:hAnsi="Arial" w:hint="default"/>
      </w:rPr>
    </w:lvl>
    <w:lvl w:ilvl="4" w:tplc="97E81BB4" w:tentative="1">
      <w:start w:val="1"/>
      <w:numFmt w:val="bullet"/>
      <w:lvlText w:val="•"/>
      <w:lvlJc w:val="left"/>
      <w:pPr>
        <w:tabs>
          <w:tab w:val="num" w:pos="3600"/>
        </w:tabs>
        <w:ind w:left="3600" w:hanging="360"/>
      </w:pPr>
      <w:rPr>
        <w:rFonts w:ascii="Arial" w:hAnsi="Arial" w:hint="default"/>
      </w:rPr>
    </w:lvl>
    <w:lvl w:ilvl="5" w:tplc="20549FD8" w:tentative="1">
      <w:start w:val="1"/>
      <w:numFmt w:val="bullet"/>
      <w:lvlText w:val="•"/>
      <w:lvlJc w:val="left"/>
      <w:pPr>
        <w:tabs>
          <w:tab w:val="num" w:pos="4320"/>
        </w:tabs>
        <w:ind w:left="4320" w:hanging="360"/>
      </w:pPr>
      <w:rPr>
        <w:rFonts w:ascii="Arial" w:hAnsi="Arial" w:hint="default"/>
      </w:rPr>
    </w:lvl>
    <w:lvl w:ilvl="6" w:tplc="BB4603DC" w:tentative="1">
      <w:start w:val="1"/>
      <w:numFmt w:val="bullet"/>
      <w:lvlText w:val="•"/>
      <w:lvlJc w:val="left"/>
      <w:pPr>
        <w:tabs>
          <w:tab w:val="num" w:pos="5040"/>
        </w:tabs>
        <w:ind w:left="5040" w:hanging="360"/>
      </w:pPr>
      <w:rPr>
        <w:rFonts w:ascii="Arial" w:hAnsi="Arial" w:hint="default"/>
      </w:rPr>
    </w:lvl>
    <w:lvl w:ilvl="7" w:tplc="503C89C8" w:tentative="1">
      <w:start w:val="1"/>
      <w:numFmt w:val="bullet"/>
      <w:lvlText w:val="•"/>
      <w:lvlJc w:val="left"/>
      <w:pPr>
        <w:tabs>
          <w:tab w:val="num" w:pos="5760"/>
        </w:tabs>
        <w:ind w:left="5760" w:hanging="360"/>
      </w:pPr>
      <w:rPr>
        <w:rFonts w:ascii="Arial" w:hAnsi="Arial" w:hint="default"/>
      </w:rPr>
    </w:lvl>
    <w:lvl w:ilvl="8" w:tplc="35EC1CA8" w:tentative="1">
      <w:start w:val="1"/>
      <w:numFmt w:val="bullet"/>
      <w:lvlText w:val="•"/>
      <w:lvlJc w:val="left"/>
      <w:pPr>
        <w:tabs>
          <w:tab w:val="num" w:pos="6480"/>
        </w:tabs>
        <w:ind w:left="6480" w:hanging="360"/>
      </w:pPr>
      <w:rPr>
        <w:rFonts w:ascii="Arial" w:hAnsi="Arial" w:hint="default"/>
      </w:rPr>
    </w:lvl>
  </w:abstractNum>
  <w:num w:numId="1">
    <w:abstractNumId w:val="19"/>
  </w:num>
  <w:num w:numId="2">
    <w:abstractNumId w:val="4"/>
  </w:num>
  <w:num w:numId="3">
    <w:abstractNumId w:val="17"/>
  </w:num>
  <w:num w:numId="4">
    <w:abstractNumId w:val="20"/>
  </w:num>
  <w:num w:numId="5">
    <w:abstractNumId w:val="6"/>
  </w:num>
  <w:num w:numId="6">
    <w:abstractNumId w:val="12"/>
  </w:num>
  <w:num w:numId="7">
    <w:abstractNumId w:val="0"/>
  </w:num>
  <w:num w:numId="8">
    <w:abstractNumId w:val="15"/>
  </w:num>
  <w:num w:numId="9">
    <w:abstractNumId w:val="2"/>
  </w:num>
  <w:num w:numId="10">
    <w:abstractNumId w:val="13"/>
  </w:num>
  <w:num w:numId="11">
    <w:abstractNumId w:val="1"/>
  </w:num>
  <w:num w:numId="12">
    <w:abstractNumId w:val="11"/>
  </w:num>
  <w:num w:numId="13">
    <w:abstractNumId w:val="14"/>
  </w:num>
  <w:num w:numId="14">
    <w:abstractNumId w:val="24"/>
  </w:num>
  <w:num w:numId="15">
    <w:abstractNumId w:val="3"/>
  </w:num>
  <w:num w:numId="16">
    <w:abstractNumId w:val="7"/>
  </w:num>
  <w:num w:numId="17">
    <w:abstractNumId w:val="16"/>
  </w:num>
  <w:num w:numId="18">
    <w:abstractNumId w:val="21"/>
  </w:num>
  <w:num w:numId="19">
    <w:abstractNumId w:val="10"/>
  </w:num>
  <w:num w:numId="20">
    <w:abstractNumId w:val="23"/>
  </w:num>
  <w:num w:numId="21">
    <w:abstractNumId w:val="18"/>
  </w:num>
  <w:num w:numId="22">
    <w:abstractNumId w:val="9"/>
  </w:num>
  <w:num w:numId="23">
    <w:abstractNumId w:val="8"/>
  </w:num>
  <w:num w:numId="24">
    <w:abstractNumId w:val="2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5D0"/>
    <w:rsid w:val="00001CE9"/>
    <w:rsid w:val="00007FDB"/>
    <w:rsid w:val="00012885"/>
    <w:rsid w:val="00021FB6"/>
    <w:rsid w:val="00022532"/>
    <w:rsid w:val="00023012"/>
    <w:rsid w:val="000237F1"/>
    <w:rsid w:val="000266D1"/>
    <w:rsid w:val="00036700"/>
    <w:rsid w:val="000370D3"/>
    <w:rsid w:val="00040BC3"/>
    <w:rsid w:val="00043FB0"/>
    <w:rsid w:val="000468FE"/>
    <w:rsid w:val="000551FB"/>
    <w:rsid w:val="00063FC3"/>
    <w:rsid w:val="00064427"/>
    <w:rsid w:val="00076A8B"/>
    <w:rsid w:val="00076D4F"/>
    <w:rsid w:val="0008212A"/>
    <w:rsid w:val="00082B83"/>
    <w:rsid w:val="00084D18"/>
    <w:rsid w:val="0009240E"/>
    <w:rsid w:val="00094CA4"/>
    <w:rsid w:val="00096BCC"/>
    <w:rsid w:val="00096F96"/>
    <w:rsid w:val="000A237B"/>
    <w:rsid w:val="000A38CB"/>
    <w:rsid w:val="000B2F1F"/>
    <w:rsid w:val="000C6DA8"/>
    <w:rsid w:val="000D0BBB"/>
    <w:rsid w:val="000D1A75"/>
    <w:rsid w:val="000D277C"/>
    <w:rsid w:val="000D672A"/>
    <w:rsid w:val="000E1794"/>
    <w:rsid w:val="000F17D7"/>
    <w:rsid w:val="000F5ACC"/>
    <w:rsid w:val="000F6444"/>
    <w:rsid w:val="000F7004"/>
    <w:rsid w:val="000F705C"/>
    <w:rsid w:val="001052D5"/>
    <w:rsid w:val="00110013"/>
    <w:rsid w:val="00112073"/>
    <w:rsid w:val="0011351A"/>
    <w:rsid w:val="00113A4E"/>
    <w:rsid w:val="001224CE"/>
    <w:rsid w:val="001306DF"/>
    <w:rsid w:val="00136D9F"/>
    <w:rsid w:val="00141883"/>
    <w:rsid w:val="00143ADC"/>
    <w:rsid w:val="001474C2"/>
    <w:rsid w:val="00151DAE"/>
    <w:rsid w:val="001562C1"/>
    <w:rsid w:val="0016216C"/>
    <w:rsid w:val="00163297"/>
    <w:rsid w:val="001650AD"/>
    <w:rsid w:val="0017080E"/>
    <w:rsid w:val="00171C71"/>
    <w:rsid w:val="00173A51"/>
    <w:rsid w:val="001755E9"/>
    <w:rsid w:val="00177FAC"/>
    <w:rsid w:val="00180C2A"/>
    <w:rsid w:val="00181A50"/>
    <w:rsid w:val="00181E02"/>
    <w:rsid w:val="00183BE6"/>
    <w:rsid w:val="00186E33"/>
    <w:rsid w:val="00190542"/>
    <w:rsid w:val="0019191A"/>
    <w:rsid w:val="00197106"/>
    <w:rsid w:val="001A0ED0"/>
    <w:rsid w:val="001A6CC0"/>
    <w:rsid w:val="001B0972"/>
    <w:rsid w:val="001B523C"/>
    <w:rsid w:val="001B5A12"/>
    <w:rsid w:val="001C125E"/>
    <w:rsid w:val="001C4361"/>
    <w:rsid w:val="001C5B35"/>
    <w:rsid w:val="001D62DF"/>
    <w:rsid w:val="001E047B"/>
    <w:rsid w:val="001E3749"/>
    <w:rsid w:val="001E5CBA"/>
    <w:rsid w:val="001E637F"/>
    <w:rsid w:val="001F2FED"/>
    <w:rsid w:val="001F31E7"/>
    <w:rsid w:val="001F474D"/>
    <w:rsid w:val="001F7AD4"/>
    <w:rsid w:val="0020103D"/>
    <w:rsid w:val="00202A6A"/>
    <w:rsid w:val="002173DA"/>
    <w:rsid w:val="00233BF6"/>
    <w:rsid w:val="00236339"/>
    <w:rsid w:val="0023683F"/>
    <w:rsid w:val="002411B5"/>
    <w:rsid w:val="002433D3"/>
    <w:rsid w:val="00245993"/>
    <w:rsid w:val="00255629"/>
    <w:rsid w:val="00255B5D"/>
    <w:rsid w:val="00263B2A"/>
    <w:rsid w:val="00267703"/>
    <w:rsid w:val="00281BF4"/>
    <w:rsid w:val="0028565B"/>
    <w:rsid w:val="002857B0"/>
    <w:rsid w:val="0029123D"/>
    <w:rsid w:val="00291E2B"/>
    <w:rsid w:val="00294192"/>
    <w:rsid w:val="002A493A"/>
    <w:rsid w:val="002A5DAB"/>
    <w:rsid w:val="002C7B93"/>
    <w:rsid w:val="002D2953"/>
    <w:rsid w:val="002E56A2"/>
    <w:rsid w:val="002E64B0"/>
    <w:rsid w:val="002F10C8"/>
    <w:rsid w:val="002F15BB"/>
    <w:rsid w:val="002F3FEE"/>
    <w:rsid w:val="002F5FE8"/>
    <w:rsid w:val="00304A6F"/>
    <w:rsid w:val="00304F75"/>
    <w:rsid w:val="003062C6"/>
    <w:rsid w:val="00307202"/>
    <w:rsid w:val="00312CDF"/>
    <w:rsid w:val="003132F0"/>
    <w:rsid w:val="003136BD"/>
    <w:rsid w:val="00316569"/>
    <w:rsid w:val="003170AC"/>
    <w:rsid w:val="00320943"/>
    <w:rsid w:val="003219C9"/>
    <w:rsid w:val="00322C53"/>
    <w:rsid w:val="00324EB3"/>
    <w:rsid w:val="00335524"/>
    <w:rsid w:val="00341662"/>
    <w:rsid w:val="00346D4A"/>
    <w:rsid w:val="00347526"/>
    <w:rsid w:val="0035080D"/>
    <w:rsid w:val="0035218B"/>
    <w:rsid w:val="00352CD3"/>
    <w:rsid w:val="00353B66"/>
    <w:rsid w:val="0035466A"/>
    <w:rsid w:val="003667AA"/>
    <w:rsid w:val="00380D75"/>
    <w:rsid w:val="00381C64"/>
    <w:rsid w:val="0038331E"/>
    <w:rsid w:val="00387109"/>
    <w:rsid w:val="003873DA"/>
    <w:rsid w:val="00392119"/>
    <w:rsid w:val="00396533"/>
    <w:rsid w:val="003A1A5B"/>
    <w:rsid w:val="003A2854"/>
    <w:rsid w:val="003A6084"/>
    <w:rsid w:val="003A6BB0"/>
    <w:rsid w:val="003A6C7C"/>
    <w:rsid w:val="003A7AFC"/>
    <w:rsid w:val="003B43A3"/>
    <w:rsid w:val="003B46D0"/>
    <w:rsid w:val="003C0256"/>
    <w:rsid w:val="003C394E"/>
    <w:rsid w:val="003D3776"/>
    <w:rsid w:val="003D49D9"/>
    <w:rsid w:val="003E47FA"/>
    <w:rsid w:val="003F0252"/>
    <w:rsid w:val="003F04A8"/>
    <w:rsid w:val="003F097C"/>
    <w:rsid w:val="003F2521"/>
    <w:rsid w:val="003F2D01"/>
    <w:rsid w:val="0040078A"/>
    <w:rsid w:val="00403729"/>
    <w:rsid w:val="00403730"/>
    <w:rsid w:val="00405BA9"/>
    <w:rsid w:val="00420C02"/>
    <w:rsid w:val="00421145"/>
    <w:rsid w:val="004238DB"/>
    <w:rsid w:val="0042462A"/>
    <w:rsid w:val="00427A28"/>
    <w:rsid w:val="00434EE4"/>
    <w:rsid w:val="00437302"/>
    <w:rsid w:val="00446DC7"/>
    <w:rsid w:val="00447C41"/>
    <w:rsid w:val="004517EE"/>
    <w:rsid w:val="00453F51"/>
    <w:rsid w:val="004541DE"/>
    <w:rsid w:val="004544A2"/>
    <w:rsid w:val="004555FD"/>
    <w:rsid w:val="00455D55"/>
    <w:rsid w:val="0045735D"/>
    <w:rsid w:val="004638C0"/>
    <w:rsid w:val="00464283"/>
    <w:rsid w:val="004653B5"/>
    <w:rsid w:val="00466AFE"/>
    <w:rsid w:val="004732F2"/>
    <w:rsid w:val="004766A7"/>
    <w:rsid w:val="00476AB9"/>
    <w:rsid w:val="0048101B"/>
    <w:rsid w:val="004842CB"/>
    <w:rsid w:val="004866D9"/>
    <w:rsid w:val="00487D61"/>
    <w:rsid w:val="00491689"/>
    <w:rsid w:val="00493F3F"/>
    <w:rsid w:val="004949D3"/>
    <w:rsid w:val="00494DC0"/>
    <w:rsid w:val="00497804"/>
    <w:rsid w:val="004A16B8"/>
    <w:rsid w:val="004A210B"/>
    <w:rsid w:val="004A25BD"/>
    <w:rsid w:val="004A34A4"/>
    <w:rsid w:val="004A43DE"/>
    <w:rsid w:val="004A63B9"/>
    <w:rsid w:val="004C16C6"/>
    <w:rsid w:val="004C3753"/>
    <w:rsid w:val="004E1ACB"/>
    <w:rsid w:val="004E29A2"/>
    <w:rsid w:val="004E4DC2"/>
    <w:rsid w:val="004F36BD"/>
    <w:rsid w:val="004F6E19"/>
    <w:rsid w:val="0050380D"/>
    <w:rsid w:val="00503B33"/>
    <w:rsid w:val="0051197E"/>
    <w:rsid w:val="00515ECF"/>
    <w:rsid w:val="0052058D"/>
    <w:rsid w:val="00521F9A"/>
    <w:rsid w:val="005227EC"/>
    <w:rsid w:val="0052616A"/>
    <w:rsid w:val="00527482"/>
    <w:rsid w:val="005317A4"/>
    <w:rsid w:val="00531E17"/>
    <w:rsid w:val="00532846"/>
    <w:rsid w:val="005335C2"/>
    <w:rsid w:val="0054271D"/>
    <w:rsid w:val="0054711E"/>
    <w:rsid w:val="005479EB"/>
    <w:rsid w:val="00547AF7"/>
    <w:rsid w:val="00556155"/>
    <w:rsid w:val="005600F8"/>
    <w:rsid w:val="00561166"/>
    <w:rsid w:val="0056120A"/>
    <w:rsid w:val="005719F3"/>
    <w:rsid w:val="005952B1"/>
    <w:rsid w:val="005A2096"/>
    <w:rsid w:val="005A2F14"/>
    <w:rsid w:val="005A7F9C"/>
    <w:rsid w:val="005B6995"/>
    <w:rsid w:val="005B6B70"/>
    <w:rsid w:val="005B6D74"/>
    <w:rsid w:val="005C0149"/>
    <w:rsid w:val="005C1A29"/>
    <w:rsid w:val="005D2E27"/>
    <w:rsid w:val="005D4F09"/>
    <w:rsid w:val="005E0AA6"/>
    <w:rsid w:val="005E2EFF"/>
    <w:rsid w:val="005E63CE"/>
    <w:rsid w:val="005E6C2D"/>
    <w:rsid w:val="005F0AA4"/>
    <w:rsid w:val="005F2994"/>
    <w:rsid w:val="005F376F"/>
    <w:rsid w:val="00600773"/>
    <w:rsid w:val="0060165D"/>
    <w:rsid w:val="006042E0"/>
    <w:rsid w:val="00606009"/>
    <w:rsid w:val="00612724"/>
    <w:rsid w:val="0061424B"/>
    <w:rsid w:val="0061495C"/>
    <w:rsid w:val="006245A6"/>
    <w:rsid w:val="006245B2"/>
    <w:rsid w:val="00624C73"/>
    <w:rsid w:val="00635634"/>
    <w:rsid w:val="00640BFE"/>
    <w:rsid w:val="006427D1"/>
    <w:rsid w:val="00643D8F"/>
    <w:rsid w:val="006460D5"/>
    <w:rsid w:val="00647DFE"/>
    <w:rsid w:val="00664736"/>
    <w:rsid w:val="00667086"/>
    <w:rsid w:val="00670268"/>
    <w:rsid w:val="006725B7"/>
    <w:rsid w:val="00673486"/>
    <w:rsid w:val="006738D7"/>
    <w:rsid w:val="00674A98"/>
    <w:rsid w:val="0067712D"/>
    <w:rsid w:val="00677741"/>
    <w:rsid w:val="00677E03"/>
    <w:rsid w:val="0068010F"/>
    <w:rsid w:val="00684359"/>
    <w:rsid w:val="00686975"/>
    <w:rsid w:val="00686A62"/>
    <w:rsid w:val="00695F8F"/>
    <w:rsid w:val="006A7D77"/>
    <w:rsid w:val="006B2A43"/>
    <w:rsid w:val="006B2FE3"/>
    <w:rsid w:val="006B30C4"/>
    <w:rsid w:val="006B34C8"/>
    <w:rsid w:val="006B3D01"/>
    <w:rsid w:val="006B5C84"/>
    <w:rsid w:val="006B7FC4"/>
    <w:rsid w:val="006C0CDC"/>
    <w:rsid w:val="006C6CB6"/>
    <w:rsid w:val="006C7306"/>
    <w:rsid w:val="006D3D25"/>
    <w:rsid w:val="006E0FF9"/>
    <w:rsid w:val="006E466E"/>
    <w:rsid w:val="006E70B9"/>
    <w:rsid w:val="006E749C"/>
    <w:rsid w:val="006F1F76"/>
    <w:rsid w:val="006F1FAB"/>
    <w:rsid w:val="006F3D20"/>
    <w:rsid w:val="006F7C30"/>
    <w:rsid w:val="007078FE"/>
    <w:rsid w:val="00710EDE"/>
    <w:rsid w:val="00715F02"/>
    <w:rsid w:val="007168BC"/>
    <w:rsid w:val="0072172F"/>
    <w:rsid w:val="007233F2"/>
    <w:rsid w:val="007258F9"/>
    <w:rsid w:val="007328BD"/>
    <w:rsid w:val="007337C6"/>
    <w:rsid w:val="00734789"/>
    <w:rsid w:val="00735BFA"/>
    <w:rsid w:val="00736953"/>
    <w:rsid w:val="0073702C"/>
    <w:rsid w:val="00737F54"/>
    <w:rsid w:val="00742033"/>
    <w:rsid w:val="00743914"/>
    <w:rsid w:val="00743957"/>
    <w:rsid w:val="0074637E"/>
    <w:rsid w:val="00752B49"/>
    <w:rsid w:val="00755360"/>
    <w:rsid w:val="0075572F"/>
    <w:rsid w:val="00762003"/>
    <w:rsid w:val="007630B3"/>
    <w:rsid w:val="00763614"/>
    <w:rsid w:val="00763A67"/>
    <w:rsid w:val="0076431E"/>
    <w:rsid w:val="00764C07"/>
    <w:rsid w:val="00766191"/>
    <w:rsid w:val="00766850"/>
    <w:rsid w:val="007671E6"/>
    <w:rsid w:val="00767C16"/>
    <w:rsid w:val="007748D9"/>
    <w:rsid w:val="00782EA0"/>
    <w:rsid w:val="0078538F"/>
    <w:rsid w:val="00793587"/>
    <w:rsid w:val="00795343"/>
    <w:rsid w:val="007A04E4"/>
    <w:rsid w:val="007A0656"/>
    <w:rsid w:val="007A1A39"/>
    <w:rsid w:val="007B09B9"/>
    <w:rsid w:val="007B2008"/>
    <w:rsid w:val="007B30B7"/>
    <w:rsid w:val="007B3914"/>
    <w:rsid w:val="007B6E1A"/>
    <w:rsid w:val="007B7815"/>
    <w:rsid w:val="007C0A57"/>
    <w:rsid w:val="007C2D9D"/>
    <w:rsid w:val="007D3F41"/>
    <w:rsid w:val="007D45E5"/>
    <w:rsid w:val="007D7F00"/>
    <w:rsid w:val="007E14A9"/>
    <w:rsid w:val="007E2184"/>
    <w:rsid w:val="007E2EB2"/>
    <w:rsid w:val="007E3C19"/>
    <w:rsid w:val="007E66CA"/>
    <w:rsid w:val="007F1103"/>
    <w:rsid w:val="007F567D"/>
    <w:rsid w:val="00806612"/>
    <w:rsid w:val="0081064F"/>
    <w:rsid w:val="00810B0E"/>
    <w:rsid w:val="0081574E"/>
    <w:rsid w:val="008158C1"/>
    <w:rsid w:val="00817795"/>
    <w:rsid w:val="00820A66"/>
    <w:rsid w:val="00824178"/>
    <w:rsid w:val="00827361"/>
    <w:rsid w:val="0082767A"/>
    <w:rsid w:val="00827B16"/>
    <w:rsid w:val="00831030"/>
    <w:rsid w:val="00835DC8"/>
    <w:rsid w:val="00840BA6"/>
    <w:rsid w:val="00840E3C"/>
    <w:rsid w:val="00850B75"/>
    <w:rsid w:val="008523AA"/>
    <w:rsid w:val="00856F20"/>
    <w:rsid w:val="00864064"/>
    <w:rsid w:val="00866F9C"/>
    <w:rsid w:val="00873C9E"/>
    <w:rsid w:val="00875811"/>
    <w:rsid w:val="008832BE"/>
    <w:rsid w:val="00887F0E"/>
    <w:rsid w:val="00892438"/>
    <w:rsid w:val="008937D5"/>
    <w:rsid w:val="00896788"/>
    <w:rsid w:val="008A039E"/>
    <w:rsid w:val="008A3D39"/>
    <w:rsid w:val="008A7465"/>
    <w:rsid w:val="008B027B"/>
    <w:rsid w:val="008B1E03"/>
    <w:rsid w:val="008B2E15"/>
    <w:rsid w:val="008B44D6"/>
    <w:rsid w:val="008B6739"/>
    <w:rsid w:val="008B73E0"/>
    <w:rsid w:val="008C0CA8"/>
    <w:rsid w:val="008C1BD1"/>
    <w:rsid w:val="008C25F6"/>
    <w:rsid w:val="008C4948"/>
    <w:rsid w:val="008C75B5"/>
    <w:rsid w:val="008D1C2B"/>
    <w:rsid w:val="008D3201"/>
    <w:rsid w:val="008E0C3D"/>
    <w:rsid w:val="008E6C24"/>
    <w:rsid w:val="0090763C"/>
    <w:rsid w:val="0091331F"/>
    <w:rsid w:val="009226C4"/>
    <w:rsid w:val="0092334F"/>
    <w:rsid w:val="00923A82"/>
    <w:rsid w:val="00934423"/>
    <w:rsid w:val="00934A85"/>
    <w:rsid w:val="00934B6E"/>
    <w:rsid w:val="00945281"/>
    <w:rsid w:val="0094702A"/>
    <w:rsid w:val="00950875"/>
    <w:rsid w:val="00954452"/>
    <w:rsid w:val="009562DA"/>
    <w:rsid w:val="00956C88"/>
    <w:rsid w:val="00962D76"/>
    <w:rsid w:val="0097213E"/>
    <w:rsid w:val="00981A71"/>
    <w:rsid w:val="00991570"/>
    <w:rsid w:val="00992852"/>
    <w:rsid w:val="0099492C"/>
    <w:rsid w:val="009956E1"/>
    <w:rsid w:val="009969FF"/>
    <w:rsid w:val="009A4B80"/>
    <w:rsid w:val="009A4F8F"/>
    <w:rsid w:val="009A6C90"/>
    <w:rsid w:val="009A6EC3"/>
    <w:rsid w:val="009A7BE1"/>
    <w:rsid w:val="009B0B41"/>
    <w:rsid w:val="009B77E6"/>
    <w:rsid w:val="009C337F"/>
    <w:rsid w:val="009D1163"/>
    <w:rsid w:val="009D23C4"/>
    <w:rsid w:val="009D6866"/>
    <w:rsid w:val="009D7602"/>
    <w:rsid w:val="009D777F"/>
    <w:rsid w:val="009E49A0"/>
    <w:rsid w:val="009E5667"/>
    <w:rsid w:val="009E7661"/>
    <w:rsid w:val="009F060E"/>
    <w:rsid w:val="009F45F1"/>
    <w:rsid w:val="009F4E7F"/>
    <w:rsid w:val="009F6786"/>
    <w:rsid w:val="00A0181D"/>
    <w:rsid w:val="00A02613"/>
    <w:rsid w:val="00A06D2B"/>
    <w:rsid w:val="00A0737F"/>
    <w:rsid w:val="00A07B6D"/>
    <w:rsid w:val="00A105C5"/>
    <w:rsid w:val="00A137EB"/>
    <w:rsid w:val="00A13A2A"/>
    <w:rsid w:val="00A16FC0"/>
    <w:rsid w:val="00A1705C"/>
    <w:rsid w:val="00A22788"/>
    <w:rsid w:val="00A2314B"/>
    <w:rsid w:val="00A24179"/>
    <w:rsid w:val="00A24B30"/>
    <w:rsid w:val="00A273A9"/>
    <w:rsid w:val="00A27EE5"/>
    <w:rsid w:val="00A30545"/>
    <w:rsid w:val="00A32FC0"/>
    <w:rsid w:val="00A36EC6"/>
    <w:rsid w:val="00A52810"/>
    <w:rsid w:val="00A5762E"/>
    <w:rsid w:val="00A6038D"/>
    <w:rsid w:val="00A61CA8"/>
    <w:rsid w:val="00A62160"/>
    <w:rsid w:val="00A73BD9"/>
    <w:rsid w:val="00A76331"/>
    <w:rsid w:val="00A80123"/>
    <w:rsid w:val="00A83B6C"/>
    <w:rsid w:val="00A85A83"/>
    <w:rsid w:val="00A9099F"/>
    <w:rsid w:val="00A939E1"/>
    <w:rsid w:val="00A95195"/>
    <w:rsid w:val="00A96462"/>
    <w:rsid w:val="00AA30B4"/>
    <w:rsid w:val="00AA3190"/>
    <w:rsid w:val="00AB02C4"/>
    <w:rsid w:val="00AB0509"/>
    <w:rsid w:val="00AB4927"/>
    <w:rsid w:val="00AB6F8A"/>
    <w:rsid w:val="00AB76DB"/>
    <w:rsid w:val="00AC1342"/>
    <w:rsid w:val="00AD1792"/>
    <w:rsid w:val="00AD2E47"/>
    <w:rsid w:val="00AD4071"/>
    <w:rsid w:val="00AE5FA4"/>
    <w:rsid w:val="00AF28FA"/>
    <w:rsid w:val="00AF4A41"/>
    <w:rsid w:val="00B016A6"/>
    <w:rsid w:val="00B0257B"/>
    <w:rsid w:val="00B02978"/>
    <w:rsid w:val="00B03564"/>
    <w:rsid w:val="00B06197"/>
    <w:rsid w:val="00B07B92"/>
    <w:rsid w:val="00B1370C"/>
    <w:rsid w:val="00B1402A"/>
    <w:rsid w:val="00B15C48"/>
    <w:rsid w:val="00B23EED"/>
    <w:rsid w:val="00B25202"/>
    <w:rsid w:val="00B300C6"/>
    <w:rsid w:val="00B30181"/>
    <w:rsid w:val="00B3453D"/>
    <w:rsid w:val="00B3482B"/>
    <w:rsid w:val="00B356D9"/>
    <w:rsid w:val="00B429DD"/>
    <w:rsid w:val="00B4421F"/>
    <w:rsid w:val="00B44918"/>
    <w:rsid w:val="00B4636C"/>
    <w:rsid w:val="00B468FE"/>
    <w:rsid w:val="00B53961"/>
    <w:rsid w:val="00B5615B"/>
    <w:rsid w:val="00B60B18"/>
    <w:rsid w:val="00B65C40"/>
    <w:rsid w:val="00B7079C"/>
    <w:rsid w:val="00B72640"/>
    <w:rsid w:val="00B73583"/>
    <w:rsid w:val="00B75854"/>
    <w:rsid w:val="00B80182"/>
    <w:rsid w:val="00B96292"/>
    <w:rsid w:val="00B96F2E"/>
    <w:rsid w:val="00BA0E7D"/>
    <w:rsid w:val="00BA0F67"/>
    <w:rsid w:val="00BA1FFF"/>
    <w:rsid w:val="00BB649B"/>
    <w:rsid w:val="00BB7062"/>
    <w:rsid w:val="00BC10B2"/>
    <w:rsid w:val="00BC4D18"/>
    <w:rsid w:val="00BC66EC"/>
    <w:rsid w:val="00BD27BA"/>
    <w:rsid w:val="00BD5025"/>
    <w:rsid w:val="00BD592B"/>
    <w:rsid w:val="00BE0105"/>
    <w:rsid w:val="00BE0F71"/>
    <w:rsid w:val="00BE1084"/>
    <w:rsid w:val="00BE593C"/>
    <w:rsid w:val="00BE7549"/>
    <w:rsid w:val="00BF2D86"/>
    <w:rsid w:val="00C00D27"/>
    <w:rsid w:val="00C0672E"/>
    <w:rsid w:val="00C07F99"/>
    <w:rsid w:val="00C11AB8"/>
    <w:rsid w:val="00C11B02"/>
    <w:rsid w:val="00C16355"/>
    <w:rsid w:val="00C22BCA"/>
    <w:rsid w:val="00C24BFF"/>
    <w:rsid w:val="00C25C3E"/>
    <w:rsid w:val="00C314AB"/>
    <w:rsid w:val="00C327BF"/>
    <w:rsid w:val="00C32AD5"/>
    <w:rsid w:val="00C34AC9"/>
    <w:rsid w:val="00C41A37"/>
    <w:rsid w:val="00C4356B"/>
    <w:rsid w:val="00C472FB"/>
    <w:rsid w:val="00C5033E"/>
    <w:rsid w:val="00C52EF9"/>
    <w:rsid w:val="00C635DF"/>
    <w:rsid w:val="00C663F6"/>
    <w:rsid w:val="00C66B62"/>
    <w:rsid w:val="00C84E70"/>
    <w:rsid w:val="00C85494"/>
    <w:rsid w:val="00C931AC"/>
    <w:rsid w:val="00C94DD0"/>
    <w:rsid w:val="00CA0CBB"/>
    <w:rsid w:val="00CA11A9"/>
    <w:rsid w:val="00CA3411"/>
    <w:rsid w:val="00CA7357"/>
    <w:rsid w:val="00CA7E87"/>
    <w:rsid w:val="00CB4A33"/>
    <w:rsid w:val="00CB6D7E"/>
    <w:rsid w:val="00CC0B30"/>
    <w:rsid w:val="00CC1E40"/>
    <w:rsid w:val="00CC1EB1"/>
    <w:rsid w:val="00CC3330"/>
    <w:rsid w:val="00CC43E2"/>
    <w:rsid w:val="00CC5AB0"/>
    <w:rsid w:val="00CD14CC"/>
    <w:rsid w:val="00CD21D4"/>
    <w:rsid w:val="00CD25D0"/>
    <w:rsid w:val="00CD5311"/>
    <w:rsid w:val="00CE24B8"/>
    <w:rsid w:val="00CE67B8"/>
    <w:rsid w:val="00CE6CB5"/>
    <w:rsid w:val="00CE6EA9"/>
    <w:rsid w:val="00D0456A"/>
    <w:rsid w:val="00D0507A"/>
    <w:rsid w:val="00D24F43"/>
    <w:rsid w:val="00D259FD"/>
    <w:rsid w:val="00D34592"/>
    <w:rsid w:val="00D42668"/>
    <w:rsid w:val="00D44D9F"/>
    <w:rsid w:val="00D54E8A"/>
    <w:rsid w:val="00D6063B"/>
    <w:rsid w:val="00D619E7"/>
    <w:rsid w:val="00D6606B"/>
    <w:rsid w:val="00D84787"/>
    <w:rsid w:val="00D944EB"/>
    <w:rsid w:val="00D952F2"/>
    <w:rsid w:val="00D95368"/>
    <w:rsid w:val="00D9602F"/>
    <w:rsid w:val="00D96701"/>
    <w:rsid w:val="00DA07CA"/>
    <w:rsid w:val="00DA3906"/>
    <w:rsid w:val="00DB033E"/>
    <w:rsid w:val="00DC1ADE"/>
    <w:rsid w:val="00DC4C0D"/>
    <w:rsid w:val="00DC58FB"/>
    <w:rsid w:val="00DC5905"/>
    <w:rsid w:val="00DD303E"/>
    <w:rsid w:val="00DE2686"/>
    <w:rsid w:val="00DE3ABE"/>
    <w:rsid w:val="00DE6191"/>
    <w:rsid w:val="00DF1745"/>
    <w:rsid w:val="00DF3C3E"/>
    <w:rsid w:val="00DF7776"/>
    <w:rsid w:val="00E01562"/>
    <w:rsid w:val="00E019B3"/>
    <w:rsid w:val="00E01FCD"/>
    <w:rsid w:val="00E0589B"/>
    <w:rsid w:val="00E07F46"/>
    <w:rsid w:val="00E1173C"/>
    <w:rsid w:val="00E22CB5"/>
    <w:rsid w:val="00E22CE6"/>
    <w:rsid w:val="00E257EA"/>
    <w:rsid w:val="00E25ADB"/>
    <w:rsid w:val="00E25DAF"/>
    <w:rsid w:val="00E342B4"/>
    <w:rsid w:val="00E3449D"/>
    <w:rsid w:val="00E3532F"/>
    <w:rsid w:val="00E37A43"/>
    <w:rsid w:val="00E51668"/>
    <w:rsid w:val="00E54072"/>
    <w:rsid w:val="00E6062A"/>
    <w:rsid w:val="00E65287"/>
    <w:rsid w:val="00E709EB"/>
    <w:rsid w:val="00E71EC0"/>
    <w:rsid w:val="00E74397"/>
    <w:rsid w:val="00E85C3F"/>
    <w:rsid w:val="00E9107D"/>
    <w:rsid w:val="00E920B7"/>
    <w:rsid w:val="00E92BD7"/>
    <w:rsid w:val="00E93377"/>
    <w:rsid w:val="00E94A52"/>
    <w:rsid w:val="00EA0867"/>
    <w:rsid w:val="00EA1844"/>
    <w:rsid w:val="00EA23C4"/>
    <w:rsid w:val="00EA2775"/>
    <w:rsid w:val="00EA4861"/>
    <w:rsid w:val="00EA50AE"/>
    <w:rsid w:val="00EA6CD2"/>
    <w:rsid w:val="00EB00B8"/>
    <w:rsid w:val="00EB22DC"/>
    <w:rsid w:val="00EB4BDD"/>
    <w:rsid w:val="00EC07BC"/>
    <w:rsid w:val="00ED0D85"/>
    <w:rsid w:val="00EE12E2"/>
    <w:rsid w:val="00EE36AF"/>
    <w:rsid w:val="00EF028A"/>
    <w:rsid w:val="00EF1D71"/>
    <w:rsid w:val="00F03753"/>
    <w:rsid w:val="00F05E1B"/>
    <w:rsid w:val="00F06BAE"/>
    <w:rsid w:val="00F13EC4"/>
    <w:rsid w:val="00F20244"/>
    <w:rsid w:val="00F20531"/>
    <w:rsid w:val="00F31F5E"/>
    <w:rsid w:val="00F338F3"/>
    <w:rsid w:val="00F35D64"/>
    <w:rsid w:val="00F44A99"/>
    <w:rsid w:val="00F4513A"/>
    <w:rsid w:val="00F47331"/>
    <w:rsid w:val="00F5191E"/>
    <w:rsid w:val="00F54282"/>
    <w:rsid w:val="00F65B2B"/>
    <w:rsid w:val="00F67E8C"/>
    <w:rsid w:val="00F7557B"/>
    <w:rsid w:val="00F75C65"/>
    <w:rsid w:val="00F75EC4"/>
    <w:rsid w:val="00F7700C"/>
    <w:rsid w:val="00F80F98"/>
    <w:rsid w:val="00F8138A"/>
    <w:rsid w:val="00F863F5"/>
    <w:rsid w:val="00F932ED"/>
    <w:rsid w:val="00F9434E"/>
    <w:rsid w:val="00FA2F01"/>
    <w:rsid w:val="00FA55B5"/>
    <w:rsid w:val="00FA648D"/>
    <w:rsid w:val="00FA7B4B"/>
    <w:rsid w:val="00FB0C1C"/>
    <w:rsid w:val="00FB470C"/>
    <w:rsid w:val="00FB69CE"/>
    <w:rsid w:val="00FB72B4"/>
    <w:rsid w:val="00FB76AD"/>
    <w:rsid w:val="00FC3647"/>
    <w:rsid w:val="00FC5FC1"/>
    <w:rsid w:val="00FC71AA"/>
    <w:rsid w:val="00FD4DC1"/>
    <w:rsid w:val="00FE1253"/>
    <w:rsid w:val="00FE1938"/>
    <w:rsid w:val="00FE383A"/>
    <w:rsid w:val="00FE3F68"/>
    <w:rsid w:val="00FE42EA"/>
    <w:rsid w:val="00FF43A6"/>
    <w:rsid w:val="00FF4A9E"/>
    <w:rsid w:val="00FF5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1551E8-A2B8-4189-97C8-7DC1FFFC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5D0"/>
    <w:rPr>
      <w:rFonts w:ascii="Times New Roman" w:eastAsia="Times New Roman" w:hAnsi="Times New Roman" w:cs="Times New Roman"/>
      <w:kern w:val="0"/>
      <w:sz w:val="24"/>
      <w:szCs w:val="24"/>
      <w:lang w:eastAsia="en-US"/>
    </w:rPr>
  </w:style>
  <w:style w:type="paragraph" w:styleId="1">
    <w:name w:val="heading 1"/>
    <w:basedOn w:val="a"/>
    <w:next w:val="a"/>
    <w:link w:val="1Char"/>
    <w:uiPriority w:val="9"/>
    <w:qFormat/>
    <w:rsid w:val="007337C6"/>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D25D0"/>
    <w:pPr>
      <w:tabs>
        <w:tab w:val="center" w:pos="4680"/>
        <w:tab w:val="right" w:pos="9360"/>
      </w:tabs>
    </w:pPr>
  </w:style>
  <w:style w:type="character" w:customStyle="1" w:styleId="Char">
    <w:name w:val="页脚 Char"/>
    <w:basedOn w:val="a0"/>
    <w:link w:val="a3"/>
    <w:uiPriority w:val="99"/>
    <w:rsid w:val="00CD25D0"/>
    <w:rPr>
      <w:rFonts w:ascii="Times New Roman" w:eastAsia="Times New Roman" w:hAnsi="Times New Roman" w:cs="Times New Roman"/>
      <w:kern w:val="0"/>
      <w:sz w:val="24"/>
      <w:szCs w:val="24"/>
      <w:lang w:eastAsia="en-US"/>
    </w:rPr>
  </w:style>
  <w:style w:type="paragraph" w:styleId="a4">
    <w:name w:val="List Paragraph"/>
    <w:basedOn w:val="a"/>
    <w:uiPriority w:val="34"/>
    <w:qFormat/>
    <w:rsid w:val="00B07B92"/>
    <w:pPr>
      <w:ind w:firstLineChars="200" w:firstLine="420"/>
    </w:pPr>
    <w:rPr>
      <w:rFonts w:ascii="宋体" w:eastAsia="宋体" w:hAnsi="宋体" w:cs="宋体"/>
      <w:lang w:eastAsia="zh-CN"/>
    </w:rPr>
  </w:style>
  <w:style w:type="character" w:customStyle="1" w:styleId="apple-converted-space">
    <w:name w:val="apple-converted-space"/>
    <w:basedOn w:val="a0"/>
    <w:rsid w:val="00640BFE"/>
  </w:style>
  <w:style w:type="paragraph" w:customStyle="1" w:styleId="Default">
    <w:name w:val="Default"/>
    <w:rsid w:val="00782EA0"/>
    <w:pPr>
      <w:widowControl w:val="0"/>
      <w:autoSpaceDE w:val="0"/>
      <w:autoSpaceDN w:val="0"/>
      <w:adjustRightInd w:val="0"/>
    </w:pPr>
    <w:rPr>
      <w:rFonts w:ascii="Times New Roman" w:hAnsi="Times New Roman" w:cs="Times New Roman"/>
      <w:color w:val="000000"/>
      <w:kern w:val="0"/>
      <w:sz w:val="24"/>
      <w:szCs w:val="24"/>
    </w:rPr>
  </w:style>
  <w:style w:type="paragraph" w:styleId="a5">
    <w:name w:val="header"/>
    <w:basedOn w:val="a"/>
    <w:link w:val="Char0"/>
    <w:uiPriority w:val="99"/>
    <w:unhideWhenUsed/>
    <w:rsid w:val="004238D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238DB"/>
    <w:rPr>
      <w:rFonts w:ascii="Times New Roman" w:eastAsia="Times New Roman" w:hAnsi="Times New Roman" w:cs="Times New Roman"/>
      <w:kern w:val="0"/>
      <w:sz w:val="18"/>
      <w:szCs w:val="18"/>
      <w:lang w:eastAsia="en-US"/>
    </w:rPr>
  </w:style>
  <w:style w:type="table" w:styleId="a6">
    <w:name w:val="Table Grid"/>
    <w:basedOn w:val="a1"/>
    <w:uiPriority w:val="39"/>
    <w:rsid w:val="00341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12">
    <w:name w:val="gl_12"/>
    <w:basedOn w:val="a"/>
    <w:rsid w:val="00BA0F67"/>
    <w:pPr>
      <w:spacing w:before="100" w:beforeAutospacing="1" w:after="100" w:afterAutospacing="1"/>
    </w:pPr>
    <w:rPr>
      <w:rFonts w:ascii="宋体" w:eastAsia="宋体" w:hAnsi="宋体" w:cs="宋体"/>
      <w:lang w:eastAsia="zh-CN"/>
    </w:rPr>
  </w:style>
  <w:style w:type="character" w:styleId="a7">
    <w:name w:val="Strong"/>
    <w:basedOn w:val="a0"/>
    <w:uiPriority w:val="22"/>
    <w:qFormat/>
    <w:rsid w:val="00BA0F67"/>
    <w:rPr>
      <w:b/>
      <w:bCs/>
    </w:rPr>
  </w:style>
  <w:style w:type="character" w:customStyle="1" w:styleId="yui-dt-label">
    <w:name w:val="yui-dt-label"/>
    <w:basedOn w:val="a0"/>
    <w:rsid w:val="00BE0F71"/>
  </w:style>
  <w:style w:type="character" w:styleId="a8">
    <w:name w:val="Hyperlink"/>
    <w:basedOn w:val="a0"/>
    <w:uiPriority w:val="99"/>
    <w:semiHidden/>
    <w:unhideWhenUsed/>
    <w:rsid w:val="00BE0F71"/>
    <w:rPr>
      <w:color w:val="0000FF"/>
      <w:u w:val="single"/>
    </w:rPr>
  </w:style>
  <w:style w:type="character" w:customStyle="1" w:styleId="journalname">
    <w:name w:val="journalname"/>
    <w:basedOn w:val="a0"/>
    <w:rsid w:val="00DC4C0D"/>
  </w:style>
  <w:style w:type="character" w:customStyle="1" w:styleId="year">
    <w:name w:val="year"/>
    <w:basedOn w:val="a0"/>
    <w:rsid w:val="00DC4C0D"/>
  </w:style>
  <w:style w:type="character" w:customStyle="1" w:styleId="volume">
    <w:name w:val="volume"/>
    <w:basedOn w:val="a0"/>
    <w:rsid w:val="00DC4C0D"/>
  </w:style>
  <w:style w:type="character" w:customStyle="1" w:styleId="issue">
    <w:name w:val="issue"/>
    <w:basedOn w:val="a0"/>
    <w:rsid w:val="00DC4C0D"/>
  </w:style>
  <w:style w:type="character" w:customStyle="1" w:styleId="page">
    <w:name w:val="page"/>
    <w:basedOn w:val="a0"/>
    <w:rsid w:val="00DC4C0D"/>
  </w:style>
  <w:style w:type="character" w:customStyle="1" w:styleId="1Char">
    <w:name w:val="标题 1 Char"/>
    <w:basedOn w:val="a0"/>
    <w:link w:val="1"/>
    <w:uiPriority w:val="9"/>
    <w:rsid w:val="007337C6"/>
    <w:rPr>
      <w:rFonts w:asciiTheme="majorHAnsi" w:eastAsiaTheme="majorEastAsia" w:hAnsiTheme="majorHAnsi" w:cstheme="majorBidi"/>
      <w:color w:val="2E74B5" w:themeColor="accent1" w:themeShade="BF"/>
      <w:kern w:val="0"/>
      <w:sz w:val="32"/>
      <w:szCs w:val="32"/>
    </w:rPr>
  </w:style>
  <w:style w:type="paragraph" w:styleId="a9">
    <w:name w:val="Bibliography"/>
    <w:basedOn w:val="a"/>
    <w:next w:val="a"/>
    <w:uiPriority w:val="37"/>
    <w:unhideWhenUsed/>
    <w:rsid w:val="007337C6"/>
  </w:style>
  <w:style w:type="paragraph" w:styleId="aa">
    <w:name w:val="Balloon Text"/>
    <w:basedOn w:val="a"/>
    <w:link w:val="Char1"/>
    <w:uiPriority w:val="99"/>
    <w:semiHidden/>
    <w:unhideWhenUsed/>
    <w:rsid w:val="003A2854"/>
    <w:rPr>
      <w:rFonts w:ascii="Segoe UI" w:hAnsi="Segoe UI" w:cs="Segoe UI"/>
      <w:sz w:val="18"/>
      <w:szCs w:val="18"/>
    </w:rPr>
  </w:style>
  <w:style w:type="character" w:customStyle="1" w:styleId="Char1">
    <w:name w:val="批注框文本 Char"/>
    <w:basedOn w:val="a0"/>
    <w:link w:val="aa"/>
    <w:uiPriority w:val="99"/>
    <w:semiHidden/>
    <w:rsid w:val="003A2854"/>
    <w:rPr>
      <w:rFonts w:ascii="Segoe UI" w:eastAsia="Times New Roman" w:hAnsi="Segoe UI" w:cs="Segoe UI"/>
      <w:kern w:val="0"/>
      <w:sz w:val="18"/>
      <w:szCs w:val="18"/>
      <w:lang w:eastAsia="en-US"/>
    </w:rPr>
  </w:style>
  <w:style w:type="paragraph" w:styleId="ab">
    <w:name w:val="caption"/>
    <w:basedOn w:val="a"/>
    <w:next w:val="a"/>
    <w:uiPriority w:val="35"/>
    <w:semiHidden/>
    <w:unhideWhenUsed/>
    <w:qFormat/>
    <w:rsid w:val="005E0AA6"/>
    <w:rPr>
      <w:rFonts w:asciiTheme="majorHAnsi" w:eastAsia="黑体" w:hAnsiTheme="majorHAnsi" w:cstheme="majorBidi"/>
      <w:sz w:val="20"/>
      <w:szCs w:val="20"/>
    </w:rPr>
  </w:style>
  <w:style w:type="paragraph" w:styleId="ac">
    <w:name w:val="footnote text"/>
    <w:basedOn w:val="a"/>
    <w:link w:val="Char2"/>
    <w:uiPriority w:val="99"/>
    <w:semiHidden/>
    <w:unhideWhenUsed/>
    <w:rsid w:val="00AA3190"/>
    <w:pPr>
      <w:snapToGrid w:val="0"/>
    </w:pPr>
    <w:rPr>
      <w:sz w:val="18"/>
      <w:szCs w:val="18"/>
    </w:rPr>
  </w:style>
  <w:style w:type="character" w:customStyle="1" w:styleId="Char2">
    <w:name w:val="脚注文本 Char"/>
    <w:basedOn w:val="a0"/>
    <w:link w:val="ac"/>
    <w:uiPriority w:val="99"/>
    <w:semiHidden/>
    <w:rsid w:val="00AA3190"/>
    <w:rPr>
      <w:rFonts w:ascii="Times New Roman" w:eastAsia="Times New Roman" w:hAnsi="Times New Roman" w:cs="Times New Roman"/>
      <w:kern w:val="0"/>
      <w:sz w:val="18"/>
      <w:szCs w:val="18"/>
      <w:lang w:eastAsia="en-US"/>
    </w:rPr>
  </w:style>
  <w:style w:type="character" w:styleId="ad">
    <w:name w:val="footnote reference"/>
    <w:basedOn w:val="a0"/>
    <w:uiPriority w:val="99"/>
    <w:semiHidden/>
    <w:unhideWhenUsed/>
    <w:rsid w:val="00AA31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3356">
      <w:bodyDiv w:val="1"/>
      <w:marLeft w:val="0"/>
      <w:marRight w:val="0"/>
      <w:marTop w:val="0"/>
      <w:marBottom w:val="0"/>
      <w:divBdr>
        <w:top w:val="none" w:sz="0" w:space="0" w:color="auto"/>
        <w:left w:val="none" w:sz="0" w:space="0" w:color="auto"/>
        <w:bottom w:val="none" w:sz="0" w:space="0" w:color="auto"/>
        <w:right w:val="none" w:sz="0" w:space="0" w:color="auto"/>
      </w:divBdr>
      <w:divsChild>
        <w:div w:id="110588612">
          <w:marLeft w:val="432"/>
          <w:marRight w:val="0"/>
          <w:marTop w:val="125"/>
          <w:marBottom w:val="0"/>
          <w:divBdr>
            <w:top w:val="none" w:sz="0" w:space="0" w:color="auto"/>
            <w:left w:val="none" w:sz="0" w:space="0" w:color="auto"/>
            <w:bottom w:val="none" w:sz="0" w:space="0" w:color="auto"/>
            <w:right w:val="none" w:sz="0" w:space="0" w:color="auto"/>
          </w:divBdr>
        </w:div>
      </w:divsChild>
    </w:div>
    <w:div w:id="102188477">
      <w:bodyDiv w:val="1"/>
      <w:marLeft w:val="0"/>
      <w:marRight w:val="0"/>
      <w:marTop w:val="0"/>
      <w:marBottom w:val="0"/>
      <w:divBdr>
        <w:top w:val="none" w:sz="0" w:space="0" w:color="auto"/>
        <w:left w:val="none" w:sz="0" w:space="0" w:color="auto"/>
        <w:bottom w:val="none" w:sz="0" w:space="0" w:color="auto"/>
        <w:right w:val="none" w:sz="0" w:space="0" w:color="auto"/>
      </w:divBdr>
      <w:divsChild>
        <w:div w:id="595406731">
          <w:marLeft w:val="446"/>
          <w:marRight w:val="0"/>
          <w:marTop w:val="115"/>
          <w:marBottom w:val="120"/>
          <w:divBdr>
            <w:top w:val="none" w:sz="0" w:space="0" w:color="auto"/>
            <w:left w:val="none" w:sz="0" w:space="0" w:color="auto"/>
            <w:bottom w:val="none" w:sz="0" w:space="0" w:color="auto"/>
            <w:right w:val="none" w:sz="0" w:space="0" w:color="auto"/>
          </w:divBdr>
        </w:div>
      </w:divsChild>
    </w:div>
    <w:div w:id="104623411">
      <w:bodyDiv w:val="1"/>
      <w:marLeft w:val="0"/>
      <w:marRight w:val="0"/>
      <w:marTop w:val="0"/>
      <w:marBottom w:val="0"/>
      <w:divBdr>
        <w:top w:val="none" w:sz="0" w:space="0" w:color="auto"/>
        <w:left w:val="none" w:sz="0" w:space="0" w:color="auto"/>
        <w:bottom w:val="none" w:sz="0" w:space="0" w:color="auto"/>
        <w:right w:val="none" w:sz="0" w:space="0" w:color="auto"/>
      </w:divBdr>
      <w:divsChild>
        <w:div w:id="935020999">
          <w:marLeft w:val="446"/>
          <w:marRight w:val="0"/>
          <w:marTop w:val="115"/>
          <w:marBottom w:val="120"/>
          <w:divBdr>
            <w:top w:val="none" w:sz="0" w:space="0" w:color="auto"/>
            <w:left w:val="none" w:sz="0" w:space="0" w:color="auto"/>
            <w:bottom w:val="none" w:sz="0" w:space="0" w:color="auto"/>
            <w:right w:val="none" w:sz="0" w:space="0" w:color="auto"/>
          </w:divBdr>
        </w:div>
      </w:divsChild>
    </w:div>
    <w:div w:id="240454461">
      <w:bodyDiv w:val="1"/>
      <w:marLeft w:val="0"/>
      <w:marRight w:val="0"/>
      <w:marTop w:val="0"/>
      <w:marBottom w:val="0"/>
      <w:divBdr>
        <w:top w:val="none" w:sz="0" w:space="0" w:color="auto"/>
        <w:left w:val="none" w:sz="0" w:space="0" w:color="auto"/>
        <w:bottom w:val="none" w:sz="0" w:space="0" w:color="auto"/>
        <w:right w:val="none" w:sz="0" w:space="0" w:color="auto"/>
      </w:divBdr>
    </w:div>
    <w:div w:id="270826286">
      <w:bodyDiv w:val="1"/>
      <w:marLeft w:val="0"/>
      <w:marRight w:val="0"/>
      <w:marTop w:val="0"/>
      <w:marBottom w:val="0"/>
      <w:divBdr>
        <w:top w:val="none" w:sz="0" w:space="0" w:color="auto"/>
        <w:left w:val="none" w:sz="0" w:space="0" w:color="auto"/>
        <w:bottom w:val="none" w:sz="0" w:space="0" w:color="auto"/>
        <w:right w:val="none" w:sz="0" w:space="0" w:color="auto"/>
      </w:divBdr>
    </w:div>
    <w:div w:id="271132865">
      <w:bodyDiv w:val="1"/>
      <w:marLeft w:val="0"/>
      <w:marRight w:val="0"/>
      <w:marTop w:val="0"/>
      <w:marBottom w:val="0"/>
      <w:divBdr>
        <w:top w:val="none" w:sz="0" w:space="0" w:color="auto"/>
        <w:left w:val="none" w:sz="0" w:space="0" w:color="auto"/>
        <w:bottom w:val="none" w:sz="0" w:space="0" w:color="auto"/>
        <w:right w:val="none" w:sz="0" w:space="0" w:color="auto"/>
      </w:divBdr>
      <w:divsChild>
        <w:div w:id="1183788838">
          <w:marLeft w:val="432"/>
          <w:marRight w:val="0"/>
          <w:marTop w:val="125"/>
          <w:marBottom w:val="0"/>
          <w:divBdr>
            <w:top w:val="none" w:sz="0" w:space="0" w:color="auto"/>
            <w:left w:val="none" w:sz="0" w:space="0" w:color="auto"/>
            <w:bottom w:val="none" w:sz="0" w:space="0" w:color="auto"/>
            <w:right w:val="none" w:sz="0" w:space="0" w:color="auto"/>
          </w:divBdr>
        </w:div>
        <w:div w:id="1603806528">
          <w:marLeft w:val="432"/>
          <w:marRight w:val="0"/>
          <w:marTop w:val="125"/>
          <w:marBottom w:val="0"/>
          <w:divBdr>
            <w:top w:val="none" w:sz="0" w:space="0" w:color="auto"/>
            <w:left w:val="none" w:sz="0" w:space="0" w:color="auto"/>
            <w:bottom w:val="none" w:sz="0" w:space="0" w:color="auto"/>
            <w:right w:val="none" w:sz="0" w:space="0" w:color="auto"/>
          </w:divBdr>
        </w:div>
      </w:divsChild>
    </w:div>
    <w:div w:id="512957336">
      <w:bodyDiv w:val="1"/>
      <w:marLeft w:val="0"/>
      <w:marRight w:val="0"/>
      <w:marTop w:val="0"/>
      <w:marBottom w:val="0"/>
      <w:divBdr>
        <w:top w:val="none" w:sz="0" w:space="0" w:color="auto"/>
        <w:left w:val="none" w:sz="0" w:space="0" w:color="auto"/>
        <w:bottom w:val="none" w:sz="0" w:space="0" w:color="auto"/>
        <w:right w:val="none" w:sz="0" w:space="0" w:color="auto"/>
      </w:divBdr>
    </w:div>
    <w:div w:id="668606509">
      <w:bodyDiv w:val="1"/>
      <w:marLeft w:val="0"/>
      <w:marRight w:val="0"/>
      <w:marTop w:val="0"/>
      <w:marBottom w:val="0"/>
      <w:divBdr>
        <w:top w:val="none" w:sz="0" w:space="0" w:color="auto"/>
        <w:left w:val="none" w:sz="0" w:space="0" w:color="auto"/>
        <w:bottom w:val="none" w:sz="0" w:space="0" w:color="auto"/>
        <w:right w:val="none" w:sz="0" w:space="0" w:color="auto"/>
      </w:divBdr>
      <w:divsChild>
        <w:div w:id="2107724271">
          <w:marLeft w:val="0"/>
          <w:marRight w:val="0"/>
          <w:marTop w:val="0"/>
          <w:marBottom w:val="0"/>
          <w:divBdr>
            <w:top w:val="none" w:sz="0" w:space="0" w:color="auto"/>
            <w:left w:val="none" w:sz="0" w:space="0" w:color="auto"/>
            <w:bottom w:val="none" w:sz="0" w:space="0" w:color="auto"/>
            <w:right w:val="none" w:sz="0" w:space="0" w:color="auto"/>
          </w:divBdr>
        </w:div>
        <w:div w:id="1288700868">
          <w:marLeft w:val="0"/>
          <w:marRight w:val="0"/>
          <w:marTop w:val="0"/>
          <w:marBottom w:val="0"/>
          <w:divBdr>
            <w:top w:val="none" w:sz="0" w:space="0" w:color="auto"/>
            <w:left w:val="none" w:sz="0" w:space="0" w:color="auto"/>
            <w:bottom w:val="none" w:sz="0" w:space="0" w:color="auto"/>
            <w:right w:val="none" w:sz="0" w:space="0" w:color="auto"/>
          </w:divBdr>
        </w:div>
        <w:div w:id="286162158">
          <w:marLeft w:val="0"/>
          <w:marRight w:val="0"/>
          <w:marTop w:val="0"/>
          <w:marBottom w:val="0"/>
          <w:divBdr>
            <w:top w:val="none" w:sz="0" w:space="0" w:color="auto"/>
            <w:left w:val="none" w:sz="0" w:space="0" w:color="auto"/>
            <w:bottom w:val="none" w:sz="0" w:space="0" w:color="auto"/>
            <w:right w:val="none" w:sz="0" w:space="0" w:color="auto"/>
          </w:divBdr>
        </w:div>
        <w:div w:id="1456410584">
          <w:marLeft w:val="0"/>
          <w:marRight w:val="0"/>
          <w:marTop w:val="0"/>
          <w:marBottom w:val="0"/>
          <w:divBdr>
            <w:top w:val="none" w:sz="0" w:space="0" w:color="auto"/>
            <w:left w:val="none" w:sz="0" w:space="0" w:color="auto"/>
            <w:bottom w:val="none" w:sz="0" w:space="0" w:color="auto"/>
            <w:right w:val="none" w:sz="0" w:space="0" w:color="auto"/>
          </w:divBdr>
        </w:div>
        <w:div w:id="1455251388">
          <w:marLeft w:val="0"/>
          <w:marRight w:val="0"/>
          <w:marTop w:val="0"/>
          <w:marBottom w:val="0"/>
          <w:divBdr>
            <w:top w:val="none" w:sz="0" w:space="0" w:color="auto"/>
            <w:left w:val="none" w:sz="0" w:space="0" w:color="auto"/>
            <w:bottom w:val="none" w:sz="0" w:space="0" w:color="auto"/>
            <w:right w:val="none" w:sz="0" w:space="0" w:color="auto"/>
          </w:divBdr>
        </w:div>
        <w:div w:id="1277642710">
          <w:marLeft w:val="0"/>
          <w:marRight w:val="0"/>
          <w:marTop w:val="0"/>
          <w:marBottom w:val="0"/>
          <w:divBdr>
            <w:top w:val="none" w:sz="0" w:space="0" w:color="auto"/>
            <w:left w:val="none" w:sz="0" w:space="0" w:color="auto"/>
            <w:bottom w:val="none" w:sz="0" w:space="0" w:color="auto"/>
            <w:right w:val="none" w:sz="0" w:space="0" w:color="auto"/>
          </w:divBdr>
        </w:div>
        <w:div w:id="2029524496">
          <w:marLeft w:val="0"/>
          <w:marRight w:val="0"/>
          <w:marTop w:val="0"/>
          <w:marBottom w:val="0"/>
          <w:divBdr>
            <w:top w:val="none" w:sz="0" w:space="0" w:color="auto"/>
            <w:left w:val="none" w:sz="0" w:space="0" w:color="auto"/>
            <w:bottom w:val="none" w:sz="0" w:space="0" w:color="auto"/>
            <w:right w:val="none" w:sz="0" w:space="0" w:color="auto"/>
          </w:divBdr>
        </w:div>
        <w:div w:id="1904750400">
          <w:marLeft w:val="0"/>
          <w:marRight w:val="0"/>
          <w:marTop w:val="0"/>
          <w:marBottom w:val="0"/>
          <w:divBdr>
            <w:top w:val="none" w:sz="0" w:space="0" w:color="auto"/>
            <w:left w:val="none" w:sz="0" w:space="0" w:color="auto"/>
            <w:bottom w:val="none" w:sz="0" w:space="0" w:color="auto"/>
            <w:right w:val="none" w:sz="0" w:space="0" w:color="auto"/>
          </w:divBdr>
        </w:div>
        <w:div w:id="830948499">
          <w:marLeft w:val="0"/>
          <w:marRight w:val="0"/>
          <w:marTop w:val="0"/>
          <w:marBottom w:val="0"/>
          <w:divBdr>
            <w:top w:val="none" w:sz="0" w:space="0" w:color="auto"/>
            <w:left w:val="none" w:sz="0" w:space="0" w:color="auto"/>
            <w:bottom w:val="none" w:sz="0" w:space="0" w:color="auto"/>
            <w:right w:val="none" w:sz="0" w:space="0" w:color="auto"/>
          </w:divBdr>
        </w:div>
        <w:div w:id="1189681003">
          <w:marLeft w:val="0"/>
          <w:marRight w:val="0"/>
          <w:marTop w:val="0"/>
          <w:marBottom w:val="0"/>
          <w:divBdr>
            <w:top w:val="none" w:sz="0" w:space="0" w:color="auto"/>
            <w:left w:val="none" w:sz="0" w:space="0" w:color="auto"/>
            <w:bottom w:val="none" w:sz="0" w:space="0" w:color="auto"/>
            <w:right w:val="none" w:sz="0" w:space="0" w:color="auto"/>
          </w:divBdr>
        </w:div>
        <w:div w:id="2123569513">
          <w:marLeft w:val="0"/>
          <w:marRight w:val="0"/>
          <w:marTop w:val="0"/>
          <w:marBottom w:val="0"/>
          <w:divBdr>
            <w:top w:val="none" w:sz="0" w:space="0" w:color="auto"/>
            <w:left w:val="none" w:sz="0" w:space="0" w:color="auto"/>
            <w:bottom w:val="none" w:sz="0" w:space="0" w:color="auto"/>
            <w:right w:val="none" w:sz="0" w:space="0" w:color="auto"/>
          </w:divBdr>
        </w:div>
        <w:div w:id="1830515111">
          <w:marLeft w:val="0"/>
          <w:marRight w:val="0"/>
          <w:marTop w:val="0"/>
          <w:marBottom w:val="0"/>
          <w:divBdr>
            <w:top w:val="none" w:sz="0" w:space="0" w:color="auto"/>
            <w:left w:val="none" w:sz="0" w:space="0" w:color="auto"/>
            <w:bottom w:val="none" w:sz="0" w:space="0" w:color="auto"/>
            <w:right w:val="none" w:sz="0" w:space="0" w:color="auto"/>
          </w:divBdr>
        </w:div>
        <w:div w:id="1244339784">
          <w:marLeft w:val="0"/>
          <w:marRight w:val="0"/>
          <w:marTop w:val="0"/>
          <w:marBottom w:val="0"/>
          <w:divBdr>
            <w:top w:val="none" w:sz="0" w:space="0" w:color="auto"/>
            <w:left w:val="none" w:sz="0" w:space="0" w:color="auto"/>
            <w:bottom w:val="none" w:sz="0" w:space="0" w:color="auto"/>
            <w:right w:val="none" w:sz="0" w:space="0" w:color="auto"/>
          </w:divBdr>
        </w:div>
        <w:div w:id="1198735993">
          <w:marLeft w:val="0"/>
          <w:marRight w:val="0"/>
          <w:marTop w:val="0"/>
          <w:marBottom w:val="0"/>
          <w:divBdr>
            <w:top w:val="none" w:sz="0" w:space="0" w:color="auto"/>
            <w:left w:val="none" w:sz="0" w:space="0" w:color="auto"/>
            <w:bottom w:val="none" w:sz="0" w:space="0" w:color="auto"/>
            <w:right w:val="none" w:sz="0" w:space="0" w:color="auto"/>
          </w:divBdr>
        </w:div>
        <w:div w:id="714744326">
          <w:marLeft w:val="0"/>
          <w:marRight w:val="0"/>
          <w:marTop w:val="0"/>
          <w:marBottom w:val="0"/>
          <w:divBdr>
            <w:top w:val="none" w:sz="0" w:space="0" w:color="auto"/>
            <w:left w:val="none" w:sz="0" w:space="0" w:color="auto"/>
            <w:bottom w:val="none" w:sz="0" w:space="0" w:color="auto"/>
            <w:right w:val="none" w:sz="0" w:space="0" w:color="auto"/>
          </w:divBdr>
        </w:div>
        <w:div w:id="1558323565">
          <w:marLeft w:val="0"/>
          <w:marRight w:val="0"/>
          <w:marTop w:val="0"/>
          <w:marBottom w:val="0"/>
          <w:divBdr>
            <w:top w:val="none" w:sz="0" w:space="0" w:color="auto"/>
            <w:left w:val="none" w:sz="0" w:space="0" w:color="auto"/>
            <w:bottom w:val="none" w:sz="0" w:space="0" w:color="auto"/>
            <w:right w:val="none" w:sz="0" w:space="0" w:color="auto"/>
          </w:divBdr>
        </w:div>
        <w:div w:id="1472791703">
          <w:marLeft w:val="0"/>
          <w:marRight w:val="0"/>
          <w:marTop w:val="0"/>
          <w:marBottom w:val="0"/>
          <w:divBdr>
            <w:top w:val="none" w:sz="0" w:space="0" w:color="auto"/>
            <w:left w:val="none" w:sz="0" w:space="0" w:color="auto"/>
            <w:bottom w:val="none" w:sz="0" w:space="0" w:color="auto"/>
            <w:right w:val="none" w:sz="0" w:space="0" w:color="auto"/>
          </w:divBdr>
        </w:div>
        <w:div w:id="318312359">
          <w:marLeft w:val="0"/>
          <w:marRight w:val="0"/>
          <w:marTop w:val="0"/>
          <w:marBottom w:val="0"/>
          <w:divBdr>
            <w:top w:val="none" w:sz="0" w:space="0" w:color="auto"/>
            <w:left w:val="none" w:sz="0" w:space="0" w:color="auto"/>
            <w:bottom w:val="none" w:sz="0" w:space="0" w:color="auto"/>
            <w:right w:val="none" w:sz="0" w:space="0" w:color="auto"/>
          </w:divBdr>
        </w:div>
        <w:div w:id="353310896">
          <w:marLeft w:val="0"/>
          <w:marRight w:val="0"/>
          <w:marTop w:val="0"/>
          <w:marBottom w:val="0"/>
          <w:divBdr>
            <w:top w:val="none" w:sz="0" w:space="0" w:color="auto"/>
            <w:left w:val="none" w:sz="0" w:space="0" w:color="auto"/>
            <w:bottom w:val="none" w:sz="0" w:space="0" w:color="auto"/>
            <w:right w:val="none" w:sz="0" w:space="0" w:color="auto"/>
          </w:divBdr>
        </w:div>
        <w:div w:id="863830536">
          <w:marLeft w:val="0"/>
          <w:marRight w:val="0"/>
          <w:marTop w:val="0"/>
          <w:marBottom w:val="0"/>
          <w:divBdr>
            <w:top w:val="none" w:sz="0" w:space="0" w:color="auto"/>
            <w:left w:val="none" w:sz="0" w:space="0" w:color="auto"/>
            <w:bottom w:val="none" w:sz="0" w:space="0" w:color="auto"/>
            <w:right w:val="none" w:sz="0" w:space="0" w:color="auto"/>
          </w:divBdr>
        </w:div>
        <w:div w:id="2065443125">
          <w:marLeft w:val="0"/>
          <w:marRight w:val="0"/>
          <w:marTop w:val="0"/>
          <w:marBottom w:val="0"/>
          <w:divBdr>
            <w:top w:val="none" w:sz="0" w:space="0" w:color="auto"/>
            <w:left w:val="none" w:sz="0" w:space="0" w:color="auto"/>
            <w:bottom w:val="none" w:sz="0" w:space="0" w:color="auto"/>
            <w:right w:val="none" w:sz="0" w:space="0" w:color="auto"/>
          </w:divBdr>
        </w:div>
        <w:div w:id="1748109699">
          <w:marLeft w:val="0"/>
          <w:marRight w:val="0"/>
          <w:marTop w:val="0"/>
          <w:marBottom w:val="0"/>
          <w:divBdr>
            <w:top w:val="none" w:sz="0" w:space="0" w:color="auto"/>
            <w:left w:val="none" w:sz="0" w:space="0" w:color="auto"/>
            <w:bottom w:val="none" w:sz="0" w:space="0" w:color="auto"/>
            <w:right w:val="none" w:sz="0" w:space="0" w:color="auto"/>
          </w:divBdr>
        </w:div>
        <w:div w:id="1898856693">
          <w:marLeft w:val="0"/>
          <w:marRight w:val="0"/>
          <w:marTop w:val="0"/>
          <w:marBottom w:val="0"/>
          <w:divBdr>
            <w:top w:val="none" w:sz="0" w:space="0" w:color="auto"/>
            <w:left w:val="none" w:sz="0" w:space="0" w:color="auto"/>
            <w:bottom w:val="none" w:sz="0" w:space="0" w:color="auto"/>
            <w:right w:val="none" w:sz="0" w:space="0" w:color="auto"/>
          </w:divBdr>
        </w:div>
        <w:div w:id="372926684">
          <w:marLeft w:val="0"/>
          <w:marRight w:val="0"/>
          <w:marTop w:val="0"/>
          <w:marBottom w:val="0"/>
          <w:divBdr>
            <w:top w:val="none" w:sz="0" w:space="0" w:color="auto"/>
            <w:left w:val="none" w:sz="0" w:space="0" w:color="auto"/>
            <w:bottom w:val="none" w:sz="0" w:space="0" w:color="auto"/>
            <w:right w:val="none" w:sz="0" w:space="0" w:color="auto"/>
          </w:divBdr>
        </w:div>
        <w:div w:id="1440569373">
          <w:marLeft w:val="0"/>
          <w:marRight w:val="0"/>
          <w:marTop w:val="0"/>
          <w:marBottom w:val="0"/>
          <w:divBdr>
            <w:top w:val="none" w:sz="0" w:space="0" w:color="auto"/>
            <w:left w:val="none" w:sz="0" w:space="0" w:color="auto"/>
            <w:bottom w:val="none" w:sz="0" w:space="0" w:color="auto"/>
            <w:right w:val="none" w:sz="0" w:space="0" w:color="auto"/>
          </w:divBdr>
        </w:div>
        <w:div w:id="1924215735">
          <w:marLeft w:val="0"/>
          <w:marRight w:val="0"/>
          <w:marTop w:val="0"/>
          <w:marBottom w:val="0"/>
          <w:divBdr>
            <w:top w:val="none" w:sz="0" w:space="0" w:color="auto"/>
            <w:left w:val="none" w:sz="0" w:space="0" w:color="auto"/>
            <w:bottom w:val="none" w:sz="0" w:space="0" w:color="auto"/>
            <w:right w:val="none" w:sz="0" w:space="0" w:color="auto"/>
          </w:divBdr>
        </w:div>
        <w:div w:id="58094881">
          <w:marLeft w:val="0"/>
          <w:marRight w:val="0"/>
          <w:marTop w:val="0"/>
          <w:marBottom w:val="0"/>
          <w:divBdr>
            <w:top w:val="none" w:sz="0" w:space="0" w:color="auto"/>
            <w:left w:val="none" w:sz="0" w:space="0" w:color="auto"/>
            <w:bottom w:val="none" w:sz="0" w:space="0" w:color="auto"/>
            <w:right w:val="none" w:sz="0" w:space="0" w:color="auto"/>
          </w:divBdr>
        </w:div>
        <w:div w:id="347680949">
          <w:marLeft w:val="0"/>
          <w:marRight w:val="0"/>
          <w:marTop w:val="0"/>
          <w:marBottom w:val="0"/>
          <w:divBdr>
            <w:top w:val="none" w:sz="0" w:space="0" w:color="auto"/>
            <w:left w:val="none" w:sz="0" w:space="0" w:color="auto"/>
            <w:bottom w:val="none" w:sz="0" w:space="0" w:color="auto"/>
            <w:right w:val="none" w:sz="0" w:space="0" w:color="auto"/>
          </w:divBdr>
        </w:div>
        <w:div w:id="772939488">
          <w:marLeft w:val="0"/>
          <w:marRight w:val="0"/>
          <w:marTop w:val="0"/>
          <w:marBottom w:val="0"/>
          <w:divBdr>
            <w:top w:val="none" w:sz="0" w:space="0" w:color="auto"/>
            <w:left w:val="none" w:sz="0" w:space="0" w:color="auto"/>
            <w:bottom w:val="none" w:sz="0" w:space="0" w:color="auto"/>
            <w:right w:val="none" w:sz="0" w:space="0" w:color="auto"/>
          </w:divBdr>
        </w:div>
        <w:div w:id="2024241853">
          <w:marLeft w:val="0"/>
          <w:marRight w:val="0"/>
          <w:marTop w:val="0"/>
          <w:marBottom w:val="0"/>
          <w:divBdr>
            <w:top w:val="none" w:sz="0" w:space="0" w:color="auto"/>
            <w:left w:val="none" w:sz="0" w:space="0" w:color="auto"/>
            <w:bottom w:val="none" w:sz="0" w:space="0" w:color="auto"/>
            <w:right w:val="none" w:sz="0" w:space="0" w:color="auto"/>
          </w:divBdr>
        </w:div>
        <w:div w:id="1345327957">
          <w:marLeft w:val="0"/>
          <w:marRight w:val="0"/>
          <w:marTop w:val="0"/>
          <w:marBottom w:val="0"/>
          <w:divBdr>
            <w:top w:val="none" w:sz="0" w:space="0" w:color="auto"/>
            <w:left w:val="none" w:sz="0" w:space="0" w:color="auto"/>
            <w:bottom w:val="none" w:sz="0" w:space="0" w:color="auto"/>
            <w:right w:val="none" w:sz="0" w:space="0" w:color="auto"/>
          </w:divBdr>
        </w:div>
        <w:div w:id="1150635696">
          <w:marLeft w:val="0"/>
          <w:marRight w:val="0"/>
          <w:marTop w:val="0"/>
          <w:marBottom w:val="0"/>
          <w:divBdr>
            <w:top w:val="none" w:sz="0" w:space="0" w:color="auto"/>
            <w:left w:val="none" w:sz="0" w:space="0" w:color="auto"/>
            <w:bottom w:val="none" w:sz="0" w:space="0" w:color="auto"/>
            <w:right w:val="none" w:sz="0" w:space="0" w:color="auto"/>
          </w:divBdr>
        </w:div>
        <w:div w:id="1690253357">
          <w:marLeft w:val="0"/>
          <w:marRight w:val="0"/>
          <w:marTop w:val="0"/>
          <w:marBottom w:val="0"/>
          <w:divBdr>
            <w:top w:val="none" w:sz="0" w:space="0" w:color="auto"/>
            <w:left w:val="none" w:sz="0" w:space="0" w:color="auto"/>
            <w:bottom w:val="none" w:sz="0" w:space="0" w:color="auto"/>
            <w:right w:val="none" w:sz="0" w:space="0" w:color="auto"/>
          </w:divBdr>
        </w:div>
        <w:div w:id="684405958">
          <w:marLeft w:val="0"/>
          <w:marRight w:val="0"/>
          <w:marTop w:val="0"/>
          <w:marBottom w:val="0"/>
          <w:divBdr>
            <w:top w:val="none" w:sz="0" w:space="0" w:color="auto"/>
            <w:left w:val="none" w:sz="0" w:space="0" w:color="auto"/>
            <w:bottom w:val="none" w:sz="0" w:space="0" w:color="auto"/>
            <w:right w:val="none" w:sz="0" w:space="0" w:color="auto"/>
          </w:divBdr>
        </w:div>
        <w:div w:id="815612257">
          <w:marLeft w:val="0"/>
          <w:marRight w:val="0"/>
          <w:marTop w:val="0"/>
          <w:marBottom w:val="0"/>
          <w:divBdr>
            <w:top w:val="none" w:sz="0" w:space="0" w:color="auto"/>
            <w:left w:val="none" w:sz="0" w:space="0" w:color="auto"/>
            <w:bottom w:val="none" w:sz="0" w:space="0" w:color="auto"/>
            <w:right w:val="none" w:sz="0" w:space="0" w:color="auto"/>
          </w:divBdr>
        </w:div>
        <w:div w:id="1240022647">
          <w:marLeft w:val="0"/>
          <w:marRight w:val="0"/>
          <w:marTop w:val="0"/>
          <w:marBottom w:val="0"/>
          <w:divBdr>
            <w:top w:val="none" w:sz="0" w:space="0" w:color="auto"/>
            <w:left w:val="none" w:sz="0" w:space="0" w:color="auto"/>
            <w:bottom w:val="none" w:sz="0" w:space="0" w:color="auto"/>
            <w:right w:val="none" w:sz="0" w:space="0" w:color="auto"/>
          </w:divBdr>
        </w:div>
        <w:div w:id="86005626">
          <w:marLeft w:val="0"/>
          <w:marRight w:val="0"/>
          <w:marTop w:val="0"/>
          <w:marBottom w:val="0"/>
          <w:divBdr>
            <w:top w:val="none" w:sz="0" w:space="0" w:color="auto"/>
            <w:left w:val="none" w:sz="0" w:space="0" w:color="auto"/>
            <w:bottom w:val="none" w:sz="0" w:space="0" w:color="auto"/>
            <w:right w:val="none" w:sz="0" w:space="0" w:color="auto"/>
          </w:divBdr>
        </w:div>
        <w:div w:id="310448653">
          <w:marLeft w:val="0"/>
          <w:marRight w:val="0"/>
          <w:marTop w:val="0"/>
          <w:marBottom w:val="0"/>
          <w:divBdr>
            <w:top w:val="none" w:sz="0" w:space="0" w:color="auto"/>
            <w:left w:val="none" w:sz="0" w:space="0" w:color="auto"/>
            <w:bottom w:val="none" w:sz="0" w:space="0" w:color="auto"/>
            <w:right w:val="none" w:sz="0" w:space="0" w:color="auto"/>
          </w:divBdr>
        </w:div>
        <w:div w:id="155652323">
          <w:marLeft w:val="0"/>
          <w:marRight w:val="0"/>
          <w:marTop w:val="0"/>
          <w:marBottom w:val="0"/>
          <w:divBdr>
            <w:top w:val="none" w:sz="0" w:space="0" w:color="auto"/>
            <w:left w:val="none" w:sz="0" w:space="0" w:color="auto"/>
            <w:bottom w:val="none" w:sz="0" w:space="0" w:color="auto"/>
            <w:right w:val="none" w:sz="0" w:space="0" w:color="auto"/>
          </w:divBdr>
        </w:div>
        <w:div w:id="1754818231">
          <w:marLeft w:val="0"/>
          <w:marRight w:val="0"/>
          <w:marTop w:val="0"/>
          <w:marBottom w:val="0"/>
          <w:divBdr>
            <w:top w:val="none" w:sz="0" w:space="0" w:color="auto"/>
            <w:left w:val="none" w:sz="0" w:space="0" w:color="auto"/>
            <w:bottom w:val="none" w:sz="0" w:space="0" w:color="auto"/>
            <w:right w:val="none" w:sz="0" w:space="0" w:color="auto"/>
          </w:divBdr>
        </w:div>
        <w:div w:id="832333654">
          <w:marLeft w:val="0"/>
          <w:marRight w:val="0"/>
          <w:marTop w:val="0"/>
          <w:marBottom w:val="0"/>
          <w:divBdr>
            <w:top w:val="none" w:sz="0" w:space="0" w:color="auto"/>
            <w:left w:val="none" w:sz="0" w:space="0" w:color="auto"/>
            <w:bottom w:val="none" w:sz="0" w:space="0" w:color="auto"/>
            <w:right w:val="none" w:sz="0" w:space="0" w:color="auto"/>
          </w:divBdr>
        </w:div>
        <w:div w:id="1706100746">
          <w:marLeft w:val="0"/>
          <w:marRight w:val="0"/>
          <w:marTop w:val="0"/>
          <w:marBottom w:val="0"/>
          <w:divBdr>
            <w:top w:val="none" w:sz="0" w:space="0" w:color="auto"/>
            <w:left w:val="none" w:sz="0" w:space="0" w:color="auto"/>
            <w:bottom w:val="none" w:sz="0" w:space="0" w:color="auto"/>
            <w:right w:val="none" w:sz="0" w:space="0" w:color="auto"/>
          </w:divBdr>
        </w:div>
        <w:div w:id="1832138871">
          <w:marLeft w:val="0"/>
          <w:marRight w:val="0"/>
          <w:marTop w:val="0"/>
          <w:marBottom w:val="0"/>
          <w:divBdr>
            <w:top w:val="none" w:sz="0" w:space="0" w:color="auto"/>
            <w:left w:val="none" w:sz="0" w:space="0" w:color="auto"/>
            <w:bottom w:val="none" w:sz="0" w:space="0" w:color="auto"/>
            <w:right w:val="none" w:sz="0" w:space="0" w:color="auto"/>
          </w:divBdr>
        </w:div>
        <w:div w:id="1147019257">
          <w:marLeft w:val="0"/>
          <w:marRight w:val="0"/>
          <w:marTop w:val="0"/>
          <w:marBottom w:val="0"/>
          <w:divBdr>
            <w:top w:val="none" w:sz="0" w:space="0" w:color="auto"/>
            <w:left w:val="none" w:sz="0" w:space="0" w:color="auto"/>
            <w:bottom w:val="none" w:sz="0" w:space="0" w:color="auto"/>
            <w:right w:val="none" w:sz="0" w:space="0" w:color="auto"/>
          </w:divBdr>
        </w:div>
        <w:div w:id="565263026">
          <w:marLeft w:val="0"/>
          <w:marRight w:val="0"/>
          <w:marTop w:val="0"/>
          <w:marBottom w:val="0"/>
          <w:divBdr>
            <w:top w:val="none" w:sz="0" w:space="0" w:color="auto"/>
            <w:left w:val="none" w:sz="0" w:space="0" w:color="auto"/>
            <w:bottom w:val="none" w:sz="0" w:space="0" w:color="auto"/>
            <w:right w:val="none" w:sz="0" w:space="0" w:color="auto"/>
          </w:divBdr>
        </w:div>
        <w:div w:id="1716419064">
          <w:marLeft w:val="0"/>
          <w:marRight w:val="0"/>
          <w:marTop w:val="0"/>
          <w:marBottom w:val="0"/>
          <w:divBdr>
            <w:top w:val="none" w:sz="0" w:space="0" w:color="auto"/>
            <w:left w:val="none" w:sz="0" w:space="0" w:color="auto"/>
            <w:bottom w:val="none" w:sz="0" w:space="0" w:color="auto"/>
            <w:right w:val="none" w:sz="0" w:space="0" w:color="auto"/>
          </w:divBdr>
        </w:div>
        <w:div w:id="984512352">
          <w:marLeft w:val="0"/>
          <w:marRight w:val="0"/>
          <w:marTop w:val="0"/>
          <w:marBottom w:val="0"/>
          <w:divBdr>
            <w:top w:val="none" w:sz="0" w:space="0" w:color="auto"/>
            <w:left w:val="none" w:sz="0" w:space="0" w:color="auto"/>
            <w:bottom w:val="none" w:sz="0" w:space="0" w:color="auto"/>
            <w:right w:val="none" w:sz="0" w:space="0" w:color="auto"/>
          </w:divBdr>
        </w:div>
        <w:div w:id="1065838838">
          <w:marLeft w:val="0"/>
          <w:marRight w:val="0"/>
          <w:marTop w:val="0"/>
          <w:marBottom w:val="0"/>
          <w:divBdr>
            <w:top w:val="none" w:sz="0" w:space="0" w:color="auto"/>
            <w:left w:val="none" w:sz="0" w:space="0" w:color="auto"/>
            <w:bottom w:val="none" w:sz="0" w:space="0" w:color="auto"/>
            <w:right w:val="none" w:sz="0" w:space="0" w:color="auto"/>
          </w:divBdr>
        </w:div>
        <w:div w:id="1179009056">
          <w:marLeft w:val="0"/>
          <w:marRight w:val="0"/>
          <w:marTop w:val="0"/>
          <w:marBottom w:val="0"/>
          <w:divBdr>
            <w:top w:val="none" w:sz="0" w:space="0" w:color="auto"/>
            <w:left w:val="none" w:sz="0" w:space="0" w:color="auto"/>
            <w:bottom w:val="none" w:sz="0" w:space="0" w:color="auto"/>
            <w:right w:val="none" w:sz="0" w:space="0" w:color="auto"/>
          </w:divBdr>
        </w:div>
        <w:div w:id="569998860">
          <w:marLeft w:val="0"/>
          <w:marRight w:val="0"/>
          <w:marTop w:val="0"/>
          <w:marBottom w:val="0"/>
          <w:divBdr>
            <w:top w:val="none" w:sz="0" w:space="0" w:color="auto"/>
            <w:left w:val="none" w:sz="0" w:space="0" w:color="auto"/>
            <w:bottom w:val="none" w:sz="0" w:space="0" w:color="auto"/>
            <w:right w:val="none" w:sz="0" w:space="0" w:color="auto"/>
          </w:divBdr>
        </w:div>
        <w:div w:id="1158963557">
          <w:marLeft w:val="0"/>
          <w:marRight w:val="0"/>
          <w:marTop w:val="0"/>
          <w:marBottom w:val="0"/>
          <w:divBdr>
            <w:top w:val="none" w:sz="0" w:space="0" w:color="auto"/>
            <w:left w:val="none" w:sz="0" w:space="0" w:color="auto"/>
            <w:bottom w:val="none" w:sz="0" w:space="0" w:color="auto"/>
            <w:right w:val="none" w:sz="0" w:space="0" w:color="auto"/>
          </w:divBdr>
        </w:div>
        <w:div w:id="2059086336">
          <w:marLeft w:val="0"/>
          <w:marRight w:val="0"/>
          <w:marTop w:val="0"/>
          <w:marBottom w:val="0"/>
          <w:divBdr>
            <w:top w:val="none" w:sz="0" w:space="0" w:color="auto"/>
            <w:left w:val="none" w:sz="0" w:space="0" w:color="auto"/>
            <w:bottom w:val="none" w:sz="0" w:space="0" w:color="auto"/>
            <w:right w:val="none" w:sz="0" w:space="0" w:color="auto"/>
          </w:divBdr>
        </w:div>
        <w:div w:id="1201164338">
          <w:marLeft w:val="0"/>
          <w:marRight w:val="0"/>
          <w:marTop w:val="0"/>
          <w:marBottom w:val="0"/>
          <w:divBdr>
            <w:top w:val="none" w:sz="0" w:space="0" w:color="auto"/>
            <w:left w:val="none" w:sz="0" w:space="0" w:color="auto"/>
            <w:bottom w:val="none" w:sz="0" w:space="0" w:color="auto"/>
            <w:right w:val="none" w:sz="0" w:space="0" w:color="auto"/>
          </w:divBdr>
        </w:div>
        <w:div w:id="488013759">
          <w:marLeft w:val="0"/>
          <w:marRight w:val="0"/>
          <w:marTop w:val="0"/>
          <w:marBottom w:val="0"/>
          <w:divBdr>
            <w:top w:val="none" w:sz="0" w:space="0" w:color="auto"/>
            <w:left w:val="none" w:sz="0" w:space="0" w:color="auto"/>
            <w:bottom w:val="none" w:sz="0" w:space="0" w:color="auto"/>
            <w:right w:val="none" w:sz="0" w:space="0" w:color="auto"/>
          </w:divBdr>
        </w:div>
        <w:div w:id="1967733046">
          <w:marLeft w:val="0"/>
          <w:marRight w:val="0"/>
          <w:marTop w:val="0"/>
          <w:marBottom w:val="0"/>
          <w:divBdr>
            <w:top w:val="none" w:sz="0" w:space="0" w:color="auto"/>
            <w:left w:val="none" w:sz="0" w:space="0" w:color="auto"/>
            <w:bottom w:val="none" w:sz="0" w:space="0" w:color="auto"/>
            <w:right w:val="none" w:sz="0" w:space="0" w:color="auto"/>
          </w:divBdr>
        </w:div>
        <w:div w:id="1516115090">
          <w:marLeft w:val="0"/>
          <w:marRight w:val="0"/>
          <w:marTop w:val="0"/>
          <w:marBottom w:val="0"/>
          <w:divBdr>
            <w:top w:val="none" w:sz="0" w:space="0" w:color="auto"/>
            <w:left w:val="none" w:sz="0" w:space="0" w:color="auto"/>
            <w:bottom w:val="none" w:sz="0" w:space="0" w:color="auto"/>
            <w:right w:val="none" w:sz="0" w:space="0" w:color="auto"/>
          </w:divBdr>
        </w:div>
        <w:div w:id="853617631">
          <w:marLeft w:val="0"/>
          <w:marRight w:val="0"/>
          <w:marTop w:val="0"/>
          <w:marBottom w:val="0"/>
          <w:divBdr>
            <w:top w:val="none" w:sz="0" w:space="0" w:color="auto"/>
            <w:left w:val="none" w:sz="0" w:space="0" w:color="auto"/>
            <w:bottom w:val="none" w:sz="0" w:space="0" w:color="auto"/>
            <w:right w:val="none" w:sz="0" w:space="0" w:color="auto"/>
          </w:divBdr>
        </w:div>
        <w:div w:id="499976286">
          <w:marLeft w:val="0"/>
          <w:marRight w:val="0"/>
          <w:marTop w:val="0"/>
          <w:marBottom w:val="0"/>
          <w:divBdr>
            <w:top w:val="none" w:sz="0" w:space="0" w:color="auto"/>
            <w:left w:val="none" w:sz="0" w:space="0" w:color="auto"/>
            <w:bottom w:val="none" w:sz="0" w:space="0" w:color="auto"/>
            <w:right w:val="none" w:sz="0" w:space="0" w:color="auto"/>
          </w:divBdr>
        </w:div>
        <w:div w:id="432820506">
          <w:marLeft w:val="0"/>
          <w:marRight w:val="0"/>
          <w:marTop w:val="0"/>
          <w:marBottom w:val="0"/>
          <w:divBdr>
            <w:top w:val="none" w:sz="0" w:space="0" w:color="auto"/>
            <w:left w:val="none" w:sz="0" w:space="0" w:color="auto"/>
            <w:bottom w:val="none" w:sz="0" w:space="0" w:color="auto"/>
            <w:right w:val="none" w:sz="0" w:space="0" w:color="auto"/>
          </w:divBdr>
        </w:div>
        <w:div w:id="2070836027">
          <w:marLeft w:val="0"/>
          <w:marRight w:val="0"/>
          <w:marTop w:val="0"/>
          <w:marBottom w:val="0"/>
          <w:divBdr>
            <w:top w:val="none" w:sz="0" w:space="0" w:color="auto"/>
            <w:left w:val="none" w:sz="0" w:space="0" w:color="auto"/>
            <w:bottom w:val="none" w:sz="0" w:space="0" w:color="auto"/>
            <w:right w:val="none" w:sz="0" w:space="0" w:color="auto"/>
          </w:divBdr>
        </w:div>
        <w:div w:id="1095130224">
          <w:marLeft w:val="0"/>
          <w:marRight w:val="0"/>
          <w:marTop w:val="0"/>
          <w:marBottom w:val="0"/>
          <w:divBdr>
            <w:top w:val="none" w:sz="0" w:space="0" w:color="auto"/>
            <w:left w:val="none" w:sz="0" w:space="0" w:color="auto"/>
            <w:bottom w:val="none" w:sz="0" w:space="0" w:color="auto"/>
            <w:right w:val="none" w:sz="0" w:space="0" w:color="auto"/>
          </w:divBdr>
        </w:div>
        <w:div w:id="1483041375">
          <w:marLeft w:val="0"/>
          <w:marRight w:val="0"/>
          <w:marTop w:val="0"/>
          <w:marBottom w:val="0"/>
          <w:divBdr>
            <w:top w:val="none" w:sz="0" w:space="0" w:color="auto"/>
            <w:left w:val="none" w:sz="0" w:space="0" w:color="auto"/>
            <w:bottom w:val="none" w:sz="0" w:space="0" w:color="auto"/>
            <w:right w:val="none" w:sz="0" w:space="0" w:color="auto"/>
          </w:divBdr>
        </w:div>
        <w:div w:id="1865751275">
          <w:marLeft w:val="0"/>
          <w:marRight w:val="0"/>
          <w:marTop w:val="0"/>
          <w:marBottom w:val="0"/>
          <w:divBdr>
            <w:top w:val="none" w:sz="0" w:space="0" w:color="auto"/>
            <w:left w:val="none" w:sz="0" w:space="0" w:color="auto"/>
            <w:bottom w:val="none" w:sz="0" w:space="0" w:color="auto"/>
            <w:right w:val="none" w:sz="0" w:space="0" w:color="auto"/>
          </w:divBdr>
        </w:div>
        <w:div w:id="1190219835">
          <w:marLeft w:val="0"/>
          <w:marRight w:val="0"/>
          <w:marTop w:val="0"/>
          <w:marBottom w:val="0"/>
          <w:divBdr>
            <w:top w:val="none" w:sz="0" w:space="0" w:color="auto"/>
            <w:left w:val="none" w:sz="0" w:space="0" w:color="auto"/>
            <w:bottom w:val="none" w:sz="0" w:space="0" w:color="auto"/>
            <w:right w:val="none" w:sz="0" w:space="0" w:color="auto"/>
          </w:divBdr>
        </w:div>
        <w:div w:id="24260139">
          <w:marLeft w:val="0"/>
          <w:marRight w:val="0"/>
          <w:marTop w:val="0"/>
          <w:marBottom w:val="0"/>
          <w:divBdr>
            <w:top w:val="none" w:sz="0" w:space="0" w:color="auto"/>
            <w:left w:val="none" w:sz="0" w:space="0" w:color="auto"/>
            <w:bottom w:val="none" w:sz="0" w:space="0" w:color="auto"/>
            <w:right w:val="none" w:sz="0" w:space="0" w:color="auto"/>
          </w:divBdr>
        </w:div>
        <w:div w:id="800810528">
          <w:marLeft w:val="0"/>
          <w:marRight w:val="0"/>
          <w:marTop w:val="0"/>
          <w:marBottom w:val="0"/>
          <w:divBdr>
            <w:top w:val="none" w:sz="0" w:space="0" w:color="auto"/>
            <w:left w:val="none" w:sz="0" w:space="0" w:color="auto"/>
            <w:bottom w:val="none" w:sz="0" w:space="0" w:color="auto"/>
            <w:right w:val="none" w:sz="0" w:space="0" w:color="auto"/>
          </w:divBdr>
        </w:div>
        <w:div w:id="294719770">
          <w:marLeft w:val="0"/>
          <w:marRight w:val="0"/>
          <w:marTop w:val="0"/>
          <w:marBottom w:val="0"/>
          <w:divBdr>
            <w:top w:val="none" w:sz="0" w:space="0" w:color="auto"/>
            <w:left w:val="none" w:sz="0" w:space="0" w:color="auto"/>
            <w:bottom w:val="none" w:sz="0" w:space="0" w:color="auto"/>
            <w:right w:val="none" w:sz="0" w:space="0" w:color="auto"/>
          </w:divBdr>
        </w:div>
        <w:div w:id="324017153">
          <w:marLeft w:val="0"/>
          <w:marRight w:val="0"/>
          <w:marTop w:val="0"/>
          <w:marBottom w:val="0"/>
          <w:divBdr>
            <w:top w:val="none" w:sz="0" w:space="0" w:color="auto"/>
            <w:left w:val="none" w:sz="0" w:space="0" w:color="auto"/>
            <w:bottom w:val="none" w:sz="0" w:space="0" w:color="auto"/>
            <w:right w:val="none" w:sz="0" w:space="0" w:color="auto"/>
          </w:divBdr>
        </w:div>
        <w:div w:id="1455715208">
          <w:marLeft w:val="0"/>
          <w:marRight w:val="0"/>
          <w:marTop w:val="0"/>
          <w:marBottom w:val="0"/>
          <w:divBdr>
            <w:top w:val="none" w:sz="0" w:space="0" w:color="auto"/>
            <w:left w:val="none" w:sz="0" w:space="0" w:color="auto"/>
            <w:bottom w:val="none" w:sz="0" w:space="0" w:color="auto"/>
            <w:right w:val="none" w:sz="0" w:space="0" w:color="auto"/>
          </w:divBdr>
        </w:div>
        <w:div w:id="1625116778">
          <w:marLeft w:val="0"/>
          <w:marRight w:val="0"/>
          <w:marTop w:val="0"/>
          <w:marBottom w:val="0"/>
          <w:divBdr>
            <w:top w:val="none" w:sz="0" w:space="0" w:color="auto"/>
            <w:left w:val="none" w:sz="0" w:space="0" w:color="auto"/>
            <w:bottom w:val="none" w:sz="0" w:space="0" w:color="auto"/>
            <w:right w:val="none" w:sz="0" w:space="0" w:color="auto"/>
          </w:divBdr>
        </w:div>
        <w:div w:id="286934829">
          <w:marLeft w:val="0"/>
          <w:marRight w:val="0"/>
          <w:marTop w:val="0"/>
          <w:marBottom w:val="0"/>
          <w:divBdr>
            <w:top w:val="none" w:sz="0" w:space="0" w:color="auto"/>
            <w:left w:val="none" w:sz="0" w:space="0" w:color="auto"/>
            <w:bottom w:val="none" w:sz="0" w:space="0" w:color="auto"/>
            <w:right w:val="none" w:sz="0" w:space="0" w:color="auto"/>
          </w:divBdr>
        </w:div>
        <w:div w:id="838928996">
          <w:marLeft w:val="0"/>
          <w:marRight w:val="0"/>
          <w:marTop w:val="0"/>
          <w:marBottom w:val="0"/>
          <w:divBdr>
            <w:top w:val="none" w:sz="0" w:space="0" w:color="auto"/>
            <w:left w:val="none" w:sz="0" w:space="0" w:color="auto"/>
            <w:bottom w:val="none" w:sz="0" w:space="0" w:color="auto"/>
            <w:right w:val="none" w:sz="0" w:space="0" w:color="auto"/>
          </w:divBdr>
        </w:div>
        <w:div w:id="771172121">
          <w:marLeft w:val="0"/>
          <w:marRight w:val="0"/>
          <w:marTop w:val="0"/>
          <w:marBottom w:val="0"/>
          <w:divBdr>
            <w:top w:val="none" w:sz="0" w:space="0" w:color="auto"/>
            <w:left w:val="none" w:sz="0" w:space="0" w:color="auto"/>
            <w:bottom w:val="none" w:sz="0" w:space="0" w:color="auto"/>
            <w:right w:val="none" w:sz="0" w:space="0" w:color="auto"/>
          </w:divBdr>
        </w:div>
        <w:div w:id="2051682016">
          <w:marLeft w:val="0"/>
          <w:marRight w:val="0"/>
          <w:marTop w:val="0"/>
          <w:marBottom w:val="0"/>
          <w:divBdr>
            <w:top w:val="none" w:sz="0" w:space="0" w:color="auto"/>
            <w:left w:val="none" w:sz="0" w:space="0" w:color="auto"/>
            <w:bottom w:val="none" w:sz="0" w:space="0" w:color="auto"/>
            <w:right w:val="none" w:sz="0" w:space="0" w:color="auto"/>
          </w:divBdr>
        </w:div>
        <w:div w:id="1438211643">
          <w:marLeft w:val="0"/>
          <w:marRight w:val="0"/>
          <w:marTop w:val="0"/>
          <w:marBottom w:val="0"/>
          <w:divBdr>
            <w:top w:val="none" w:sz="0" w:space="0" w:color="auto"/>
            <w:left w:val="none" w:sz="0" w:space="0" w:color="auto"/>
            <w:bottom w:val="none" w:sz="0" w:space="0" w:color="auto"/>
            <w:right w:val="none" w:sz="0" w:space="0" w:color="auto"/>
          </w:divBdr>
        </w:div>
        <w:div w:id="382602969">
          <w:marLeft w:val="0"/>
          <w:marRight w:val="0"/>
          <w:marTop w:val="0"/>
          <w:marBottom w:val="0"/>
          <w:divBdr>
            <w:top w:val="none" w:sz="0" w:space="0" w:color="auto"/>
            <w:left w:val="none" w:sz="0" w:space="0" w:color="auto"/>
            <w:bottom w:val="none" w:sz="0" w:space="0" w:color="auto"/>
            <w:right w:val="none" w:sz="0" w:space="0" w:color="auto"/>
          </w:divBdr>
        </w:div>
        <w:div w:id="748120080">
          <w:marLeft w:val="0"/>
          <w:marRight w:val="0"/>
          <w:marTop w:val="0"/>
          <w:marBottom w:val="0"/>
          <w:divBdr>
            <w:top w:val="none" w:sz="0" w:space="0" w:color="auto"/>
            <w:left w:val="none" w:sz="0" w:space="0" w:color="auto"/>
            <w:bottom w:val="none" w:sz="0" w:space="0" w:color="auto"/>
            <w:right w:val="none" w:sz="0" w:space="0" w:color="auto"/>
          </w:divBdr>
        </w:div>
        <w:div w:id="1440642000">
          <w:marLeft w:val="0"/>
          <w:marRight w:val="0"/>
          <w:marTop w:val="0"/>
          <w:marBottom w:val="0"/>
          <w:divBdr>
            <w:top w:val="none" w:sz="0" w:space="0" w:color="auto"/>
            <w:left w:val="none" w:sz="0" w:space="0" w:color="auto"/>
            <w:bottom w:val="none" w:sz="0" w:space="0" w:color="auto"/>
            <w:right w:val="none" w:sz="0" w:space="0" w:color="auto"/>
          </w:divBdr>
        </w:div>
        <w:div w:id="212229233">
          <w:marLeft w:val="0"/>
          <w:marRight w:val="0"/>
          <w:marTop w:val="0"/>
          <w:marBottom w:val="0"/>
          <w:divBdr>
            <w:top w:val="none" w:sz="0" w:space="0" w:color="auto"/>
            <w:left w:val="none" w:sz="0" w:space="0" w:color="auto"/>
            <w:bottom w:val="none" w:sz="0" w:space="0" w:color="auto"/>
            <w:right w:val="none" w:sz="0" w:space="0" w:color="auto"/>
          </w:divBdr>
        </w:div>
        <w:div w:id="1952544283">
          <w:marLeft w:val="0"/>
          <w:marRight w:val="0"/>
          <w:marTop w:val="0"/>
          <w:marBottom w:val="0"/>
          <w:divBdr>
            <w:top w:val="none" w:sz="0" w:space="0" w:color="auto"/>
            <w:left w:val="none" w:sz="0" w:space="0" w:color="auto"/>
            <w:bottom w:val="none" w:sz="0" w:space="0" w:color="auto"/>
            <w:right w:val="none" w:sz="0" w:space="0" w:color="auto"/>
          </w:divBdr>
        </w:div>
        <w:div w:id="139736741">
          <w:marLeft w:val="0"/>
          <w:marRight w:val="0"/>
          <w:marTop w:val="0"/>
          <w:marBottom w:val="0"/>
          <w:divBdr>
            <w:top w:val="none" w:sz="0" w:space="0" w:color="auto"/>
            <w:left w:val="none" w:sz="0" w:space="0" w:color="auto"/>
            <w:bottom w:val="none" w:sz="0" w:space="0" w:color="auto"/>
            <w:right w:val="none" w:sz="0" w:space="0" w:color="auto"/>
          </w:divBdr>
        </w:div>
        <w:div w:id="1685326109">
          <w:marLeft w:val="0"/>
          <w:marRight w:val="0"/>
          <w:marTop w:val="0"/>
          <w:marBottom w:val="0"/>
          <w:divBdr>
            <w:top w:val="none" w:sz="0" w:space="0" w:color="auto"/>
            <w:left w:val="none" w:sz="0" w:space="0" w:color="auto"/>
            <w:bottom w:val="none" w:sz="0" w:space="0" w:color="auto"/>
            <w:right w:val="none" w:sz="0" w:space="0" w:color="auto"/>
          </w:divBdr>
        </w:div>
        <w:div w:id="548106701">
          <w:marLeft w:val="0"/>
          <w:marRight w:val="0"/>
          <w:marTop w:val="0"/>
          <w:marBottom w:val="0"/>
          <w:divBdr>
            <w:top w:val="none" w:sz="0" w:space="0" w:color="auto"/>
            <w:left w:val="none" w:sz="0" w:space="0" w:color="auto"/>
            <w:bottom w:val="none" w:sz="0" w:space="0" w:color="auto"/>
            <w:right w:val="none" w:sz="0" w:space="0" w:color="auto"/>
          </w:divBdr>
        </w:div>
        <w:div w:id="2094934750">
          <w:marLeft w:val="0"/>
          <w:marRight w:val="0"/>
          <w:marTop w:val="0"/>
          <w:marBottom w:val="0"/>
          <w:divBdr>
            <w:top w:val="none" w:sz="0" w:space="0" w:color="auto"/>
            <w:left w:val="none" w:sz="0" w:space="0" w:color="auto"/>
            <w:bottom w:val="none" w:sz="0" w:space="0" w:color="auto"/>
            <w:right w:val="none" w:sz="0" w:space="0" w:color="auto"/>
          </w:divBdr>
        </w:div>
        <w:div w:id="291522750">
          <w:marLeft w:val="0"/>
          <w:marRight w:val="0"/>
          <w:marTop w:val="0"/>
          <w:marBottom w:val="0"/>
          <w:divBdr>
            <w:top w:val="none" w:sz="0" w:space="0" w:color="auto"/>
            <w:left w:val="none" w:sz="0" w:space="0" w:color="auto"/>
            <w:bottom w:val="none" w:sz="0" w:space="0" w:color="auto"/>
            <w:right w:val="none" w:sz="0" w:space="0" w:color="auto"/>
          </w:divBdr>
        </w:div>
        <w:div w:id="1140271609">
          <w:marLeft w:val="0"/>
          <w:marRight w:val="0"/>
          <w:marTop w:val="0"/>
          <w:marBottom w:val="0"/>
          <w:divBdr>
            <w:top w:val="none" w:sz="0" w:space="0" w:color="auto"/>
            <w:left w:val="none" w:sz="0" w:space="0" w:color="auto"/>
            <w:bottom w:val="none" w:sz="0" w:space="0" w:color="auto"/>
            <w:right w:val="none" w:sz="0" w:space="0" w:color="auto"/>
          </w:divBdr>
        </w:div>
        <w:div w:id="1031610092">
          <w:marLeft w:val="0"/>
          <w:marRight w:val="0"/>
          <w:marTop w:val="0"/>
          <w:marBottom w:val="0"/>
          <w:divBdr>
            <w:top w:val="none" w:sz="0" w:space="0" w:color="auto"/>
            <w:left w:val="none" w:sz="0" w:space="0" w:color="auto"/>
            <w:bottom w:val="none" w:sz="0" w:space="0" w:color="auto"/>
            <w:right w:val="none" w:sz="0" w:space="0" w:color="auto"/>
          </w:divBdr>
        </w:div>
        <w:div w:id="1312563542">
          <w:marLeft w:val="0"/>
          <w:marRight w:val="0"/>
          <w:marTop w:val="0"/>
          <w:marBottom w:val="0"/>
          <w:divBdr>
            <w:top w:val="none" w:sz="0" w:space="0" w:color="auto"/>
            <w:left w:val="none" w:sz="0" w:space="0" w:color="auto"/>
            <w:bottom w:val="none" w:sz="0" w:space="0" w:color="auto"/>
            <w:right w:val="none" w:sz="0" w:space="0" w:color="auto"/>
          </w:divBdr>
        </w:div>
        <w:div w:id="1832602124">
          <w:marLeft w:val="0"/>
          <w:marRight w:val="0"/>
          <w:marTop w:val="0"/>
          <w:marBottom w:val="0"/>
          <w:divBdr>
            <w:top w:val="none" w:sz="0" w:space="0" w:color="auto"/>
            <w:left w:val="none" w:sz="0" w:space="0" w:color="auto"/>
            <w:bottom w:val="none" w:sz="0" w:space="0" w:color="auto"/>
            <w:right w:val="none" w:sz="0" w:space="0" w:color="auto"/>
          </w:divBdr>
        </w:div>
        <w:div w:id="1476947414">
          <w:marLeft w:val="0"/>
          <w:marRight w:val="0"/>
          <w:marTop w:val="0"/>
          <w:marBottom w:val="0"/>
          <w:divBdr>
            <w:top w:val="none" w:sz="0" w:space="0" w:color="auto"/>
            <w:left w:val="none" w:sz="0" w:space="0" w:color="auto"/>
            <w:bottom w:val="none" w:sz="0" w:space="0" w:color="auto"/>
            <w:right w:val="none" w:sz="0" w:space="0" w:color="auto"/>
          </w:divBdr>
        </w:div>
        <w:div w:id="1118259578">
          <w:marLeft w:val="0"/>
          <w:marRight w:val="0"/>
          <w:marTop w:val="0"/>
          <w:marBottom w:val="0"/>
          <w:divBdr>
            <w:top w:val="none" w:sz="0" w:space="0" w:color="auto"/>
            <w:left w:val="none" w:sz="0" w:space="0" w:color="auto"/>
            <w:bottom w:val="none" w:sz="0" w:space="0" w:color="auto"/>
            <w:right w:val="none" w:sz="0" w:space="0" w:color="auto"/>
          </w:divBdr>
        </w:div>
        <w:div w:id="2075809534">
          <w:marLeft w:val="0"/>
          <w:marRight w:val="0"/>
          <w:marTop w:val="0"/>
          <w:marBottom w:val="0"/>
          <w:divBdr>
            <w:top w:val="none" w:sz="0" w:space="0" w:color="auto"/>
            <w:left w:val="none" w:sz="0" w:space="0" w:color="auto"/>
            <w:bottom w:val="none" w:sz="0" w:space="0" w:color="auto"/>
            <w:right w:val="none" w:sz="0" w:space="0" w:color="auto"/>
          </w:divBdr>
        </w:div>
        <w:div w:id="31272022">
          <w:marLeft w:val="0"/>
          <w:marRight w:val="0"/>
          <w:marTop w:val="0"/>
          <w:marBottom w:val="0"/>
          <w:divBdr>
            <w:top w:val="none" w:sz="0" w:space="0" w:color="auto"/>
            <w:left w:val="none" w:sz="0" w:space="0" w:color="auto"/>
            <w:bottom w:val="none" w:sz="0" w:space="0" w:color="auto"/>
            <w:right w:val="none" w:sz="0" w:space="0" w:color="auto"/>
          </w:divBdr>
        </w:div>
        <w:div w:id="2000500332">
          <w:marLeft w:val="0"/>
          <w:marRight w:val="0"/>
          <w:marTop w:val="0"/>
          <w:marBottom w:val="0"/>
          <w:divBdr>
            <w:top w:val="none" w:sz="0" w:space="0" w:color="auto"/>
            <w:left w:val="none" w:sz="0" w:space="0" w:color="auto"/>
            <w:bottom w:val="none" w:sz="0" w:space="0" w:color="auto"/>
            <w:right w:val="none" w:sz="0" w:space="0" w:color="auto"/>
          </w:divBdr>
        </w:div>
        <w:div w:id="1409884140">
          <w:marLeft w:val="0"/>
          <w:marRight w:val="0"/>
          <w:marTop w:val="0"/>
          <w:marBottom w:val="0"/>
          <w:divBdr>
            <w:top w:val="none" w:sz="0" w:space="0" w:color="auto"/>
            <w:left w:val="none" w:sz="0" w:space="0" w:color="auto"/>
            <w:bottom w:val="none" w:sz="0" w:space="0" w:color="auto"/>
            <w:right w:val="none" w:sz="0" w:space="0" w:color="auto"/>
          </w:divBdr>
        </w:div>
        <w:div w:id="932782534">
          <w:marLeft w:val="0"/>
          <w:marRight w:val="0"/>
          <w:marTop w:val="0"/>
          <w:marBottom w:val="0"/>
          <w:divBdr>
            <w:top w:val="none" w:sz="0" w:space="0" w:color="auto"/>
            <w:left w:val="none" w:sz="0" w:space="0" w:color="auto"/>
            <w:bottom w:val="none" w:sz="0" w:space="0" w:color="auto"/>
            <w:right w:val="none" w:sz="0" w:space="0" w:color="auto"/>
          </w:divBdr>
        </w:div>
        <w:div w:id="994917929">
          <w:marLeft w:val="0"/>
          <w:marRight w:val="0"/>
          <w:marTop w:val="0"/>
          <w:marBottom w:val="0"/>
          <w:divBdr>
            <w:top w:val="none" w:sz="0" w:space="0" w:color="auto"/>
            <w:left w:val="none" w:sz="0" w:space="0" w:color="auto"/>
            <w:bottom w:val="none" w:sz="0" w:space="0" w:color="auto"/>
            <w:right w:val="none" w:sz="0" w:space="0" w:color="auto"/>
          </w:divBdr>
        </w:div>
        <w:div w:id="1095400064">
          <w:marLeft w:val="0"/>
          <w:marRight w:val="0"/>
          <w:marTop w:val="0"/>
          <w:marBottom w:val="0"/>
          <w:divBdr>
            <w:top w:val="none" w:sz="0" w:space="0" w:color="auto"/>
            <w:left w:val="none" w:sz="0" w:space="0" w:color="auto"/>
            <w:bottom w:val="none" w:sz="0" w:space="0" w:color="auto"/>
            <w:right w:val="none" w:sz="0" w:space="0" w:color="auto"/>
          </w:divBdr>
        </w:div>
        <w:div w:id="970088285">
          <w:marLeft w:val="0"/>
          <w:marRight w:val="0"/>
          <w:marTop w:val="0"/>
          <w:marBottom w:val="0"/>
          <w:divBdr>
            <w:top w:val="none" w:sz="0" w:space="0" w:color="auto"/>
            <w:left w:val="none" w:sz="0" w:space="0" w:color="auto"/>
            <w:bottom w:val="none" w:sz="0" w:space="0" w:color="auto"/>
            <w:right w:val="none" w:sz="0" w:space="0" w:color="auto"/>
          </w:divBdr>
        </w:div>
        <w:div w:id="450636732">
          <w:marLeft w:val="0"/>
          <w:marRight w:val="0"/>
          <w:marTop w:val="0"/>
          <w:marBottom w:val="0"/>
          <w:divBdr>
            <w:top w:val="none" w:sz="0" w:space="0" w:color="auto"/>
            <w:left w:val="none" w:sz="0" w:space="0" w:color="auto"/>
            <w:bottom w:val="none" w:sz="0" w:space="0" w:color="auto"/>
            <w:right w:val="none" w:sz="0" w:space="0" w:color="auto"/>
          </w:divBdr>
        </w:div>
        <w:div w:id="1733502673">
          <w:marLeft w:val="0"/>
          <w:marRight w:val="0"/>
          <w:marTop w:val="0"/>
          <w:marBottom w:val="0"/>
          <w:divBdr>
            <w:top w:val="none" w:sz="0" w:space="0" w:color="auto"/>
            <w:left w:val="none" w:sz="0" w:space="0" w:color="auto"/>
            <w:bottom w:val="none" w:sz="0" w:space="0" w:color="auto"/>
            <w:right w:val="none" w:sz="0" w:space="0" w:color="auto"/>
          </w:divBdr>
        </w:div>
        <w:div w:id="1183737573">
          <w:marLeft w:val="0"/>
          <w:marRight w:val="0"/>
          <w:marTop w:val="0"/>
          <w:marBottom w:val="0"/>
          <w:divBdr>
            <w:top w:val="none" w:sz="0" w:space="0" w:color="auto"/>
            <w:left w:val="none" w:sz="0" w:space="0" w:color="auto"/>
            <w:bottom w:val="none" w:sz="0" w:space="0" w:color="auto"/>
            <w:right w:val="none" w:sz="0" w:space="0" w:color="auto"/>
          </w:divBdr>
        </w:div>
        <w:div w:id="1977681692">
          <w:marLeft w:val="0"/>
          <w:marRight w:val="0"/>
          <w:marTop w:val="0"/>
          <w:marBottom w:val="0"/>
          <w:divBdr>
            <w:top w:val="none" w:sz="0" w:space="0" w:color="auto"/>
            <w:left w:val="none" w:sz="0" w:space="0" w:color="auto"/>
            <w:bottom w:val="none" w:sz="0" w:space="0" w:color="auto"/>
            <w:right w:val="none" w:sz="0" w:space="0" w:color="auto"/>
          </w:divBdr>
        </w:div>
        <w:div w:id="911043040">
          <w:marLeft w:val="0"/>
          <w:marRight w:val="0"/>
          <w:marTop w:val="0"/>
          <w:marBottom w:val="0"/>
          <w:divBdr>
            <w:top w:val="none" w:sz="0" w:space="0" w:color="auto"/>
            <w:left w:val="none" w:sz="0" w:space="0" w:color="auto"/>
            <w:bottom w:val="none" w:sz="0" w:space="0" w:color="auto"/>
            <w:right w:val="none" w:sz="0" w:space="0" w:color="auto"/>
          </w:divBdr>
        </w:div>
      </w:divsChild>
    </w:div>
    <w:div w:id="715273915">
      <w:bodyDiv w:val="1"/>
      <w:marLeft w:val="0"/>
      <w:marRight w:val="0"/>
      <w:marTop w:val="0"/>
      <w:marBottom w:val="0"/>
      <w:divBdr>
        <w:top w:val="none" w:sz="0" w:space="0" w:color="auto"/>
        <w:left w:val="none" w:sz="0" w:space="0" w:color="auto"/>
        <w:bottom w:val="none" w:sz="0" w:space="0" w:color="auto"/>
        <w:right w:val="none" w:sz="0" w:space="0" w:color="auto"/>
      </w:divBdr>
    </w:div>
    <w:div w:id="721179348">
      <w:bodyDiv w:val="1"/>
      <w:marLeft w:val="0"/>
      <w:marRight w:val="0"/>
      <w:marTop w:val="0"/>
      <w:marBottom w:val="0"/>
      <w:divBdr>
        <w:top w:val="none" w:sz="0" w:space="0" w:color="auto"/>
        <w:left w:val="none" w:sz="0" w:space="0" w:color="auto"/>
        <w:bottom w:val="none" w:sz="0" w:space="0" w:color="auto"/>
        <w:right w:val="none" w:sz="0" w:space="0" w:color="auto"/>
      </w:divBdr>
    </w:div>
    <w:div w:id="819887942">
      <w:bodyDiv w:val="1"/>
      <w:marLeft w:val="0"/>
      <w:marRight w:val="0"/>
      <w:marTop w:val="0"/>
      <w:marBottom w:val="0"/>
      <w:divBdr>
        <w:top w:val="none" w:sz="0" w:space="0" w:color="auto"/>
        <w:left w:val="none" w:sz="0" w:space="0" w:color="auto"/>
        <w:bottom w:val="none" w:sz="0" w:space="0" w:color="auto"/>
        <w:right w:val="none" w:sz="0" w:space="0" w:color="auto"/>
      </w:divBdr>
      <w:divsChild>
        <w:div w:id="1539705000">
          <w:marLeft w:val="446"/>
          <w:marRight w:val="0"/>
          <w:marTop w:val="115"/>
          <w:marBottom w:val="120"/>
          <w:divBdr>
            <w:top w:val="none" w:sz="0" w:space="0" w:color="auto"/>
            <w:left w:val="none" w:sz="0" w:space="0" w:color="auto"/>
            <w:bottom w:val="none" w:sz="0" w:space="0" w:color="auto"/>
            <w:right w:val="none" w:sz="0" w:space="0" w:color="auto"/>
          </w:divBdr>
        </w:div>
      </w:divsChild>
    </w:div>
    <w:div w:id="853106516">
      <w:bodyDiv w:val="1"/>
      <w:marLeft w:val="0"/>
      <w:marRight w:val="0"/>
      <w:marTop w:val="0"/>
      <w:marBottom w:val="0"/>
      <w:divBdr>
        <w:top w:val="none" w:sz="0" w:space="0" w:color="auto"/>
        <w:left w:val="none" w:sz="0" w:space="0" w:color="auto"/>
        <w:bottom w:val="none" w:sz="0" w:space="0" w:color="auto"/>
        <w:right w:val="none" w:sz="0" w:space="0" w:color="auto"/>
      </w:divBdr>
      <w:divsChild>
        <w:div w:id="1601452748">
          <w:marLeft w:val="446"/>
          <w:marRight w:val="0"/>
          <w:marTop w:val="115"/>
          <w:marBottom w:val="120"/>
          <w:divBdr>
            <w:top w:val="none" w:sz="0" w:space="0" w:color="auto"/>
            <w:left w:val="none" w:sz="0" w:space="0" w:color="auto"/>
            <w:bottom w:val="none" w:sz="0" w:space="0" w:color="auto"/>
            <w:right w:val="none" w:sz="0" w:space="0" w:color="auto"/>
          </w:divBdr>
        </w:div>
      </w:divsChild>
    </w:div>
    <w:div w:id="921453792">
      <w:bodyDiv w:val="1"/>
      <w:marLeft w:val="0"/>
      <w:marRight w:val="0"/>
      <w:marTop w:val="0"/>
      <w:marBottom w:val="0"/>
      <w:divBdr>
        <w:top w:val="none" w:sz="0" w:space="0" w:color="auto"/>
        <w:left w:val="none" w:sz="0" w:space="0" w:color="auto"/>
        <w:bottom w:val="none" w:sz="0" w:space="0" w:color="auto"/>
        <w:right w:val="none" w:sz="0" w:space="0" w:color="auto"/>
      </w:divBdr>
    </w:div>
    <w:div w:id="995183562">
      <w:bodyDiv w:val="1"/>
      <w:marLeft w:val="0"/>
      <w:marRight w:val="0"/>
      <w:marTop w:val="0"/>
      <w:marBottom w:val="0"/>
      <w:divBdr>
        <w:top w:val="none" w:sz="0" w:space="0" w:color="auto"/>
        <w:left w:val="none" w:sz="0" w:space="0" w:color="auto"/>
        <w:bottom w:val="none" w:sz="0" w:space="0" w:color="auto"/>
        <w:right w:val="none" w:sz="0" w:space="0" w:color="auto"/>
      </w:divBdr>
    </w:div>
    <w:div w:id="1004749002">
      <w:bodyDiv w:val="1"/>
      <w:marLeft w:val="0"/>
      <w:marRight w:val="0"/>
      <w:marTop w:val="0"/>
      <w:marBottom w:val="0"/>
      <w:divBdr>
        <w:top w:val="none" w:sz="0" w:space="0" w:color="auto"/>
        <w:left w:val="none" w:sz="0" w:space="0" w:color="auto"/>
        <w:bottom w:val="none" w:sz="0" w:space="0" w:color="auto"/>
        <w:right w:val="none" w:sz="0" w:space="0" w:color="auto"/>
      </w:divBdr>
      <w:divsChild>
        <w:div w:id="63377964">
          <w:marLeft w:val="446"/>
          <w:marRight w:val="0"/>
          <w:marTop w:val="106"/>
          <w:marBottom w:val="120"/>
          <w:divBdr>
            <w:top w:val="none" w:sz="0" w:space="0" w:color="auto"/>
            <w:left w:val="none" w:sz="0" w:space="0" w:color="auto"/>
            <w:bottom w:val="none" w:sz="0" w:space="0" w:color="auto"/>
            <w:right w:val="none" w:sz="0" w:space="0" w:color="auto"/>
          </w:divBdr>
        </w:div>
        <w:div w:id="395058301">
          <w:marLeft w:val="446"/>
          <w:marRight w:val="0"/>
          <w:marTop w:val="106"/>
          <w:marBottom w:val="120"/>
          <w:divBdr>
            <w:top w:val="none" w:sz="0" w:space="0" w:color="auto"/>
            <w:left w:val="none" w:sz="0" w:space="0" w:color="auto"/>
            <w:bottom w:val="none" w:sz="0" w:space="0" w:color="auto"/>
            <w:right w:val="none" w:sz="0" w:space="0" w:color="auto"/>
          </w:divBdr>
        </w:div>
        <w:div w:id="203369430">
          <w:marLeft w:val="446"/>
          <w:marRight w:val="0"/>
          <w:marTop w:val="106"/>
          <w:marBottom w:val="120"/>
          <w:divBdr>
            <w:top w:val="none" w:sz="0" w:space="0" w:color="auto"/>
            <w:left w:val="none" w:sz="0" w:space="0" w:color="auto"/>
            <w:bottom w:val="none" w:sz="0" w:space="0" w:color="auto"/>
            <w:right w:val="none" w:sz="0" w:space="0" w:color="auto"/>
          </w:divBdr>
        </w:div>
        <w:div w:id="283075205">
          <w:marLeft w:val="446"/>
          <w:marRight w:val="0"/>
          <w:marTop w:val="106"/>
          <w:marBottom w:val="120"/>
          <w:divBdr>
            <w:top w:val="none" w:sz="0" w:space="0" w:color="auto"/>
            <w:left w:val="none" w:sz="0" w:space="0" w:color="auto"/>
            <w:bottom w:val="none" w:sz="0" w:space="0" w:color="auto"/>
            <w:right w:val="none" w:sz="0" w:space="0" w:color="auto"/>
          </w:divBdr>
        </w:div>
      </w:divsChild>
    </w:div>
    <w:div w:id="1073549835">
      <w:bodyDiv w:val="1"/>
      <w:marLeft w:val="0"/>
      <w:marRight w:val="0"/>
      <w:marTop w:val="0"/>
      <w:marBottom w:val="0"/>
      <w:divBdr>
        <w:top w:val="none" w:sz="0" w:space="0" w:color="auto"/>
        <w:left w:val="none" w:sz="0" w:space="0" w:color="auto"/>
        <w:bottom w:val="none" w:sz="0" w:space="0" w:color="auto"/>
        <w:right w:val="none" w:sz="0" w:space="0" w:color="auto"/>
      </w:divBdr>
    </w:div>
    <w:div w:id="1161197188">
      <w:bodyDiv w:val="1"/>
      <w:marLeft w:val="0"/>
      <w:marRight w:val="0"/>
      <w:marTop w:val="0"/>
      <w:marBottom w:val="0"/>
      <w:divBdr>
        <w:top w:val="none" w:sz="0" w:space="0" w:color="auto"/>
        <w:left w:val="none" w:sz="0" w:space="0" w:color="auto"/>
        <w:bottom w:val="none" w:sz="0" w:space="0" w:color="auto"/>
        <w:right w:val="none" w:sz="0" w:space="0" w:color="auto"/>
      </w:divBdr>
    </w:div>
    <w:div w:id="1177385784">
      <w:bodyDiv w:val="1"/>
      <w:marLeft w:val="0"/>
      <w:marRight w:val="0"/>
      <w:marTop w:val="0"/>
      <w:marBottom w:val="0"/>
      <w:divBdr>
        <w:top w:val="none" w:sz="0" w:space="0" w:color="auto"/>
        <w:left w:val="none" w:sz="0" w:space="0" w:color="auto"/>
        <w:bottom w:val="none" w:sz="0" w:space="0" w:color="auto"/>
        <w:right w:val="none" w:sz="0" w:space="0" w:color="auto"/>
      </w:divBdr>
    </w:div>
    <w:div w:id="1218391376">
      <w:bodyDiv w:val="1"/>
      <w:marLeft w:val="0"/>
      <w:marRight w:val="0"/>
      <w:marTop w:val="0"/>
      <w:marBottom w:val="0"/>
      <w:divBdr>
        <w:top w:val="none" w:sz="0" w:space="0" w:color="auto"/>
        <w:left w:val="none" w:sz="0" w:space="0" w:color="auto"/>
        <w:bottom w:val="none" w:sz="0" w:space="0" w:color="auto"/>
        <w:right w:val="none" w:sz="0" w:space="0" w:color="auto"/>
      </w:divBdr>
    </w:div>
    <w:div w:id="1264915299">
      <w:bodyDiv w:val="1"/>
      <w:marLeft w:val="0"/>
      <w:marRight w:val="0"/>
      <w:marTop w:val="0"/>
      <w:marBottom w:val="0"/>
      <w:divBdr>
        <w:top w:val="none" w:sz="0" w:space="0" w:color="auto"/>
        <w:left w:val="none" w:sz="0" w:space="0" w:color="auto"/>
        <w:bottom w:val="none" w:sz="0" w:space="0" w:color="auto"/>
        <w:right w:val="none" w:sz="0" w:space="0" w:color="auto"/>
      </w:divBdr>
    </w:div>
    <w:div w:id="1442456768">
      <w:bodyDiv w:val="1"/>
      <w:marLeft w:val="0"/>
      <w:marRight w:val="0"/>
      <w:marTop w:val="0"/>
      <w:marBottom w:val="0"/>
      <w:divBdr>
        <w:top w:val="none" w:sz="0" w:space="0" w:color="auto"/>
        <w:left w:val="none" w:sz="0" w:space="0" w:color="auto"/>
        <w:bottom w:val="none" w:sz="0" w:space="0" w:color="auto"/>
        <w:right w:val="none" w:sz="0" w:space="0" w:color="auto"/>
      </w:divBdr>
    </w:div>
    <w:div w:id="1463185009">
      <w:bodyDiv w:val="1"/>
      <w:marLeft w:val="0"/>
      <w:marRight w:val="0"/>
      <w:marTop w:val="0"/>
      <w:marBottom w:val="0"/>
      <w:divBdr>
        <w:top w:val="none" w:sz="0" w:space="0" w:color="auto"/>
        <w:left w:val="none" w:sz="0" w:space="0" w:color="auto"/>
        <w:bottom w:val="none" w:sz="0" w:space="0" w:color="auto"/>
        <w:right w:val="none" w:sz="0" w:space="0" w:color="auto"/>
      </w:divBdr>
    </w:div>
    <w:div w:id="1512721023">
      <w:bodyDiv w:val="1"/>
      <w:marLeft w:val="0"/>
      <w:marRight w:val="0"/>
      <w:marTop w:val="0"/>
      <w:marBottom w:val="0"/>
      <w:divBdr>
        <w:top w:val="none" w:sz="0" w:space="0" w:color="auto"/>
        <w:left w:val="none" w:sz="0" w:space="0" w:color="auto"/>
        <w:bottom w:val="none" w:sz="0" w:space="0" w:color="auto"/>
        <w:right w:val="none" w:sz="0" w:space="0" w:color="auto"/>
      </w:divBdr>
      <w:divsChild>
        <w:div w:id="1469930134">
          <w:marLeft w:val="446"/>
          <w:marRight w:val="0"/>
          <w:marTop w:val="115"/>
          <w:marBottom w:val="120"/>
          <w:divBdr>
            <w:top w:val="none" w:sz="0" w:space="0" w:color="auto"/>
            <w:left w:val="none" w:sz="0" w:space="0" w:color="auto"/>
            <w:bottom w:val="none" w:sz="0" w:space="0" w:color="auto"/>
            <w:right w:val="none" w:sz="0" w:space="0" w:color="auto"/>
          </w:divBdr>
        </w:div>
      </w:divsChild>
    </w:div>
    <w:div w:id="1551108079">
      <w:bodyDiv w:val="1"/>
      <w:marLeft w:val="0"/>
      <w:marRight w:val="0"/>
      <w:marTop w:val="0"/>
      <w:marBottom w:val="0"/>
      <w:divBdr>
        <w:top w:val="none" w:sz="0" w:space="0" w:color="auto"/>
        <w:left w:val="none" w:sz="0" w:space="0" w:color="auto"/>
        <w:bottom w:val="none" w:sz="0" w:space="0" w:color="auto"/>
        <w:right w:val="none" w:sz="0" w:space="0" w:color="auto"/>
      </w:divBdr>
    </w:div>
    <w:div w:id="1627275440">
      <w:bodyDiv w:val="1"/>
      <w:marLeft w:val="0"/>
      <w:marRight w:val="0"/>
      <w:marTop w:val="0"/>
      <w:marBottom w:val="0"/>
      <w:divBdr>
        <w:top w:val="none" w:sz="0" w:space="0" w:color="auto"/>
        <w:left w:val="none" w:sz="0" w:space="0" w:color="auto"/>
        <w:bottom w:val="none" w:sz="0" w:space="0" w:color="auto"/>
        <w:right w:val="none" w:sz="0" w:space="0" w:color="auto"/>
      </w:divBdr>
    </w:div>
    <w:div w:id="1627810594">
      <w:bodyDiv w:val="1"/>
      <w:marLeft w:val="0"/>
      <w:marRight w:val="0"/>
      <w:marTop w:val="0"/>
      <w:marBottom w:val="0"/>
      <w:divBdr>
        <w:top w:val="none" w:sz="0" w:space="0" w:color="auto"/>
        <w:left w:val="none" w:sz="0" w:space="0" w:color="auto"/>
        <w:bottom w:val="none" w:sz="0" w:space="0" w:color="auto"/>
        <w:right w:val="none" w:sz="0" w:space="0" w:color="auto"/>
      </w:divBdr>
    </w:div>
    <w:div w:id="1633248005">
      <w:bodyDiv w:val="1"/>
      <w:marLeft w:val="0"/>
      <w:marRight w:val="0"/>
      <w:marTop w:val="0"/>
      <w:marBottom w:val="0"/>
      <w:divBdr>
        <w:top w:val="none" w:sz="0" w:space="0" w:color="auto"/>
        <w:left w:val="none" w:sz="0" w:space="0" w:color="auto"/>
        <w:bottom w:val="none" w:sz="0" w:space="0" w:color="auto"/>
        <w:right w:val="none" w:sz="0" w:space="0" w:color="auto"/>
      </w:divBdr>
    </w:div>
    <w:div w:id="1711800452">
      <w:bodyDiv w:val="1"/>
      <w:marLeft w:val="0"/>
      <w:marRight w:val="0"/>
      <w:marTop w:val="0"/>
      <w:marBottom w:val="0"/>
      <w:divBdr>
        <w:top w:val="none" w:sz="0" w:space="0" w:color="auto"/>
        <w:left w:val="none" w:sz="0" w:space="0" w:color="auto"/>
        <w:bottom w:val="none" w:sz="0" w:space="0" w:color="auto"/>
        <w:right w:val="none" w:sz="0" w:space="0" w:color="auto"/>
      </w:divBdr>
      <w:divsChild>
        <w:div w:id="2071033422">
          <w:marLeft w:val="432"/>
          <w:marRight w:val="0"/>
          <w:marTop w:val="125"/>
          <w:marBottom w:val="0"/>
          <w:divBdr>
            <w:top w:val="none" w:sz="0" w:space="0" w:color="auto"/>
            <w:left w:val="none" w:sz="0" w:space="0" w:color="auto"/>
            <w:bottom w:val="none" w:sz="0" w:space="0" w:color="auto"/>
            <w:right w:val="none" w:sz="0" w:space="0" w:color="auto"/>
          </w:divBdr>
        </w:div>
        <w:div w:id="468597380">
          <w:marLeft w:val="432"/>
          <w:marRight w:val="0"/>
          <w:marTop w:val="125"/>
          <w:marBottom w:val="0"/>
          <w:divBdr>
            <w:top w:val="none" w:sz="0" w:space="0" w:color="auto"/>
            <w:left w:val="none" w:sz="0" w:space="0" w:color="auto"/>
            <w:bottom w:val="none" w:sz="0" w:space="0" w:color="auto"/>
            <w:right w:val="none" w:sz="0" w:space="0" w:color="auto"/>
          </w:divBdr>
        </w:div>
      </w:divsChild>
    </w:div>
    <w:div w:id="1748116678">
      <w:bodyDiv w:val="1"/>
      <w:marLeft w:val="0"/>
      <w:marRight w:val="0"/>
      <w:marTop w:val="0"/>
      <w:marBottom w:val="0"/>
      <w:divBdr>
        <w:top w:val="none" w:sz="0" w:space="0" w:color="auto"/>
        <w:left w:val="none" w:sz="0" w:space="0" w:color="auto"/>
        <w:bottom w:val="none" w:sz="0" w:space="0" w:color="auto"/>
        <w:right w:val="none" w:sz="0" w:space="0" w:color="auto"/>
      </w:divBdr>
    </w:div>
    <w:div w:id="1795784292">
      <w:bodyDiv w:val="1"/>
      <w:marLeft w:val="0"/>
      <w:marRight w:val="0"/>
      <w:marTop w:val="0"/>
      <w:marBottom w:val="0"/>
      <w:divBdr>
        <w:top w:val="none" w:sz="0" w:space="0" w:color="auto"/>
        <w:left w:val="none" w:sz="0" w:space="0" w:color="auto"/>
        <w:bottom w:val="none" w:sz="0" w:space="0" w:color="auto"/>
        <w:right w:val="none" w:sz="0" w:space="0" w:color="auto"/>
      </w:divBdr>
    </w:div>
    <w:div w:id="1814054783">
      <w:bodyDiv w:val="1"/>
      <w:marLeft w:val="0"/>
      <w:marRight w:val="0"/>
      <w:marTop w:val="0"/>
      <w:marBottom w:val="0"/>
      <w:divBdr>
        <w:top w:val="none" w:sz="0" w:space="0" w:color="auto"/>
        <w:left w:val="none" w:sz="0" w:space="0" w:color="auto"/>
        <w:bottom w:val="none" w:sz="0" w:space="0" w:color="auto"/>
        <w:right w:val="none" w:sz="0" w:space="0" w:color="auto"/>
      </w:divBdr>
    </w:div>
    <w:div w:id="1934392199">
      <w:bodyDiv w:val="1"/>
      <w:marLeft w:val="0"/>
      <w:marRight w:val="0"/>
      <w:marTop w:val="0"/>
      <w:marBottom w:val="0"/>
      <w:divBdr>
        <w:top w:val="none" w:sz="0" w:space="0" w:color="auto"/>
        <w:left w:val="none" w:sz="0" w:space="0" w:color="auto"/>
        <w:bottom w:val="none" w:sz="0" w:space="0" w:color="auto"/>
        <w:right w:val="none" w:sz="0" w:space="0" w:color="auto"/>
      </w:divBdr>
      <w:divsChild>
        <w:div w:id="1084758991">
          <w:marLeft w:val="446"/>
          <w:marRight w:val="0"/>
          <w:marTop w:val="106"/>
          <w:marBottom w:val="120"/>
          <w:divBdr>
            <w:top w:val="none" w:sz="0" w:space="0" w:color="auto"/>
            <w:left w:val="none" w:sz="0" w:space="0" w:color="auto"/>
            <w:bottom w:val="none" w:sz="0" w:space="0" w:color="auto"/>
            <w:right w:val="none" w:sz="0" w:space="0" w:color="auto"/>
          </w:divBdr>
        </w:div>
      </w:divsChild>
    </w:div>
    <w:div w:id="1939868442">
      <w:bodyDiv w:val="1"/>
      <w:marLeft w:val="0"/>
      <w:marRight w:val="0"/>
      <w:marTop w:val="0"/>
      <w:marBottom w:val="0"/>
      <w:divBdr>
        <w:top w:val="none" w:sz="0" w:space="0" w:color="auto"/>
        <w:left w:val="none" w:sz="0" w:space="0" w:color="auto"/>
        <w:bottom w:val="none" w:sz="0" w:space="0" w:color="auto"/>
        <w:right w:val="none" w:sz="0" w:space="0" w:color="auto"/>
      </w:divBdr>
      <w:divsChild>
        <w:div w:id="539318902">
          <w:marLeft w:val="446"/>
          <w:marRight w:val="0"/>
          <w:marTop w:val="115"/>
          <w:marBottom w:val="120"/>
          <w:divBdr>
            <w:top w:val="none" w:sz="0" w:space="0" w:color="auto"/>
            <w:left w:val="none" w:sz="0" w:space="0" w:color="auto"/>
            <w:bottom w:val="none" w:sz="0" w:space="0" w:color="auto"/>
            <w:right w:val="none" w:sz="0" w:space="0" w:color="auto"/>
          </w:divBdr>
        </w:div>
        <w:div w:id="1213343912">
          <w:marLeft w:val="446"/>
          <w:marRight w:val="0"/>
          <w:marTop w:val="115"/>
          <w:marBottom w:val="120"/>
          <w:divBdr>
            <w:top w:val="none" w:sz="0" w:space="0" w:color="auto"/>
            <w:left w:val="none" w:sz="0" w:space="0" w:color="auto"/>
            <w:bottom w:val="none" w:sz="0" w:space="0" w:color="auto"/>
            <w:right w:val="none" w:sz="0" w:space="0" w:color="auto"/>
          </w:divBdr>
        </w:div>
        <w:div w:id="1997561966">
          <w:marLeft w:val="446"/>
          <w:marRight w:val="0"/>
          <w:marTop w:val="115"/>
          <w:marBottom w:val="120"/>
          <w:divBdr>
            <w:top w:val="none" w:sz="0" w:space="0" w:color="auto"/>
            <w:left w:val="none" w:sz="0" w:space="0" w:color="auto"/>
            <w:bottom w:val="none" w:sz="0" w:space="0" w:color="auto"/>
            <w:right w:val="none" w:sz="0" w:space="0" w:color="auto"/>
          </w:divBdr>
        </w:div>
      </w:divsChild>
    </w:div>
    <w:div w:id="1973824731">
      <w:bodyDiv w:val="1"/>
      <w:marLeft w:val="0"/>
      <w:marRight w:val="0"/>
      <w:marTop w:val="0"/>
      <w:marBottom w:val="0"/>
      <w:divBdr>
        <w:top w:val="none" w:sz="0" w:space="0" w:color="auto"/>
        <w:left w:val="none" w:sz="0" w:space="0" w:color="auto"/>
        <w:bottom w:val="none" w:sz="0" w:space="0" w:color="auto"/>
        <w:right w:val="none" w:sz="0" w:space="0" w:color="auto"/>
      </w:divBdr>
      <w:divsChild>
        <w:div w:id="1507402658">
          <w:marLeft w:val="446"/>
          <w:marRight w:val="0"/>
          <w:marTop w:val="106"/>
          <w:marBottom w:val="120"/>
          <w:divBdr>
            <w:top w:val="none" w:sz="0" w:space="0" w:color="auto"/>
            <w:left w:val="none" w:sz="0" w:space="0" w:color="auto"/>
            <w:bottom w:val="none" w:sz="0" w:space="0" w:color="auto"/>
            <w:right w:val="none" w:sz="0" w:space="0" w:color="auto"/>
          </w:divBdr>
        </w:div>
        <w:div w:id="1332833275">
          <w:marLeft w:val="446"/>
          <w:marRight w:val="0"/>
          <w:marTop w:val="106"/>
          <w:marBottom w:val="120"/>
          <w:divBdr>
            <w:top w:val="none" w:sz="0" w:space="0" w:color="auto"/>
            <w:left w:val="none" w:sz="0" w:space="0" w:color="auto"/>
            <w:bottom w:val="none" w:sz="0" w:space="0" w:color="auto"/>
            <w:right w:val="none" w:sz="0" w:space="0" w:color="auto"/>
          </w:divBdr>
        </w:div>
        <w:div w:id="185870950">
          <w:marLeft w:val="446"/>
          <w:marRight w:val="0"/>
          <w:marTop w:val="106"/>
          <w:marBottom w:val="120"/>
          <w:divBdr>
            <w:top w:val="none" w:sz="0" w:space="0" w:color="auto"/>
            <w:left w:val="none" w:sz="0" w:space="0" w:color="auto"/>
            <w:bottom w:val="none" w:sz="0" w:space="0" w:color="auto"/>
            <w:right w:val="none" w:sz="0" w:space="0" w:color="auto"/>
          </w:divBdr>
        </w:div>
        <w:div w:id="152263349">
          <w:marLeft w:val="446"/>
          <w:marRight w:val="0"/>
          <w:marTop w:val="106"/>
          <w:marBottom w:val="120"/>
          <w:divBdr>
            <w:top w:val="none" w:sz="0" w:space="0" w:color="auto"/>
            <w:left w:val="none" w:sz="0" w:space="0" w:color="auto"/>
            <w:bottom w:val="none" w:sz="0" w:space="0" w:color="auto"/>
            <w:right w:val="none" w:sz="0" w:space="0" w:color="auto"/>
          </w:divBdr>
        </w:div>
      </w:divsChild>
    </w:div>
    <w:div w:id="2011328137">
      <w:bodyDiv w:val="1"/>
      <w:marLeft w:val="0"/>
      <w:marRight w:val="0"/>
      <w:marTop w:val="0"/>
      <w:marBottom w:val="0"/>
      <w:divBdr>
        <w:top w:val="none" w:sz="0" w:space="0" w:color="auto"/>
        <w:left w:val="none" w:sz="0" w:space="0" w:color="auto"/>
        <w:bottom w:val="none" w:sz="0" w:space="0" w:color="auto"/>
        <w:right w:val="none" w:sz="0" w:space="0" w:color="auto"/>
      </w:divBdr>
      <w:divsChild>
        <w:div w:id="1335962245">
          <w:marLeft w:val="432"/>
          <w:marRight w:val="0"/>
          <w:marTop w:val="125"/>
          <w:marBottom w:val="0"/>
          <w:divBdr>
            <w:top w:val="none" w:sz="0" w:space="0" w:color="auto"/>
            <w:left w:val="none" w:sz="0" w:space="0" w:color="auto"/>
            <w:bottom w:val="none" w:sz="0" w:space="0" w:color="auto"/>
            <w:right w:val="none" w:sz="0" w:space="0" w:color="auto"/>
          </w:divBdr>
        </w:div>
        <w:div w:id="128088232">
          <w:marLeft w:val="432"/>
          <w:marRight w:val="0"/>
          <w:marTop w:val="125"/>
          <w:marBottom w:val="0"/>
          <w:divBdr>
            <w:top w:val="none" w:sz="0" w:space="0" w:color="auto"/>
            <w:left w:val="none" w:sz="0" w:space="0" w:color="auto"/>
            <w:bottom w:val="none" w:sz="0" w:space="0" w:color="auto"/>
            <w:right w:val="none" w:sz="0" w:space="0" w:color="auto"/>
          </w:divBdr>
        </w:div>
      </w:divsChild>
    </w:div>
    <w:div w:id="2025278956">
      <w:bodyDiv w:val="1"/>
      <w:marLeft w:val="0"/>
      <w:marRight w:val="0"/>
      <w:marTop w:val="0"/>
      <w:marBottom w:val="0"/>
      <w:divBdr>
        <w:top w:val="none" w:sz="0" w:space="0" w:color="auto"/>
        <w:left w:val="none" w:sz="0" w:space="0" w:color="auto"/>
        <w:bottom w:val="none" w:sz="0" w:space="0" w:color="auto"/>
        <w:right w:val="none" w:sz="0" w:space="0" w:color="auto"/>
      </w:divBdr>
      <w:divsChild>
        <w:div w:id="186990296">
          <w:marLeft w:val="446"/>
          <w:marRight w:val="0"/>
          <w:marTop w:val="115"/>
          <w:marBottom w:val="120"/>
          <w:divBdr>
            <w:top w:val="none" w:sz="0" w:space="0" w:color="auto"/>
            <w:left w:val="none" w:sz="0" w:space="0" w:color="auto"/>
            <w:bottom w:val="none" w:sz="0" w:space="0" w:color="auto"/>
            <w:right w:val="none" w:sz="0" w:space="0" w:color="auto"/>
          </w:divBdr>
        </w:div>
      </w:divsChild>
    </w:div>
    <w:div w:id="2137984939">
      <w:bodyDiv w:val="1"/>
      <w:marLeft w:val="0"/>
      <w:marRight w:val="0"/>
      <w:marTop w:val="0"/>
      <w:marBottom w:val="0"/>
      <w:divBdr>
        <w:top w:val="none" w:sz="0" w:space="0" w:color="auto"/>
        <w:left w:val="none" w:sz="0" w:space="0" w:color="auto"/>
        <w:bottom w:val="none" w:sz="0" w:space="0" w:color="auto"/>
        <w:right w:val="none" w:sz="0" w:space="0" w:color="auto"/>
      </w:divBdr>
      <w:divsChild>
        <w:div w:id="1346135804">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Nav92</b:Tag>
    <b:SourceType>JournalArticle</b:SourceType>
    <b:Guid>{2AF47AA6-667D-49FF-AEC5-70C685D1CB71}</b:Guid>
    <b:Author>
      <b:Author>
        <b:NameList>
          <b:Person>
            <b:Last>Chopra</b:Last>
            <b:First>Navin</b:First>
          </b:Person>
          <b:Person>
            <b:Last>Ritter</b:Last>
            <b:First>Jay</b:First>
            <b:Middle>R</b:Middle>
          </b:Person>
          <b:Person>
            <b:Last>Lakonishok</b:Last>
            <b:First>Ritter </b:First>
          </b:Person>
        </b:NameList>
      </b:Author>
    </b:Author>
    <b:Title>Measuring Abnormal Performance: Do Stock Overract</b:Title>
    <b:Year>1992</b:Year>
    <b:JournalName>Journal of Financial Economics</b:JournalName>
    <b:Pages>31(2): 235 - 268</b:Pages>
    <b:RefOrder>1</b:RefOrder>
  </b:Source>
</b:Sources>
</file>

<file path=customXml/itemProps1.xml><?xml version="1.0" encoding="utf-8"?>
<ds:datastoreItem xmlns:ds="http://schemas.openxmlformats.org/officeDocument/2006/customXml" ds:itemID="{48B3E6C2-1530-416B-A2A0-CC27828A1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20</Pages>
  <Words>4192</Words>
  <Characters>23899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Joker Alan</dc:creator>
  <cp:lastModifiedBy>Joker Alan</cp:lastModifiedBy>
  <cp:revision>75</cp:revision>
  <cp:lastPrinted>2015-12-16T21:28:00Z</cp:lastPrinted>
  <dcterms:created xsi:type="dcterms:W3CDTF">2016-03-08T04:40:00Z</dcterms:created>
  <dcterms:modified xsi:type="dcterms:W3CDTF">2016-04-22T03:23:00Z</dcterms:modified>
</cp:coreProperties>
</file>