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Conduct an internal and external environmental analysis, and a supply chain analysis for your proposed new </w:t>
      </w:r>
      <w:r>
        <w:rPr>
          <w:rStyle w:val="Character0"/>
        </w:rPr>
        <w:t xml:space="preserve">division and its business model.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Create a SWOTT table summarizing your findings. Your environmental analysis should consider, at a minimum, </w:t>
      </w:r>
      <w:r>
        <w:rPr>
          <w:rStyle w:val="Character0"/>
        </w:rPr>
        <w:t xml:space="preserve">the following factors. For each factor, identify the one primary strength, weakness, opportunity, threat, and trend, </w:t>
      </w:r>
      <w:r>
        <w:rPr>
          <w:rStyle w:val="Character0"/>
        </w:rPr>
        <w:t xml:space="preserve">and include it in your table.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External forces and trends considerations: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Legal and regulatory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Global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Economic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Technological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Innovation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Social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Environmental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Competitive analysis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Internal forces and trends considerations: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Strategy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Structures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Processes and systems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Resources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Goals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Strategic capabilities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Culture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Technologies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Innovations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Intellectual property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>Leadership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Write a synopsis of no more than 1,050 words in which you analyze relevant forces and trends from the list </w:t>
      </w:r>
      <w:r>
        <w:rPr>
          <w:rStyle w:val="Character0"/>
        </w:rPr>
        <w:t xml:space="preserve">above. Your analysis must include the following: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Include economic and legal and regulatory forces and trends.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Critique how well the organization adapts to change.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Analyze and explain the supply chain of the new division of the existing business. Share your plans to develop </w:t>
      </w:r>
      <w:r>
        <w:rPr>
          <w:rStyle w:val="Character0"/>
        </w:rPr>
        <w:t xml:space="preserve">and leverage core competencies and resources within the supply chain in an effort to make a positive impact on </w:t>
      </w:r>
      <w:r>
        <w:rPr>
          <w:rStyle w:val="Character0"/>
        </w:rPr>
        <w:t xml:space="preserve">the business model and the various stakeholders.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Identify issues and/or opportunities: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Identify the major issues and/or opportunities that the company faces based on your analysis.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Generate a hypothesis surrounding each issue and research questions to use for conducting analysis.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Identify the circumstances surrounding each issue; classify the circumstances; attribute the importance of each </w:t>
      </w:r>
      <w:r>
        <w:rPr>
          <w:rStyle w:val="Character0"/>
        </w:rPr>
        <w:t xml:space="preserve">classification; and test the accuracy of the importance for each classification.</w:t>
      </w:r>
    </w:p>
    <w:p>
      <w:pPr>
        <w:pStyle w:val="Para0"/>
        <w:spacing w:line="313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Format your paper consistent with APA guidelines.</w:t>
      </w: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243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