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AEA" w:rsidRPr="00D176B4" w:rsidRDefault="005F0AEA" w:rsidP="00D176B4">
      <w:pPr>
        <w:autoSpaceDE w:val="0"/>
        <w:autoSpaceDN w:val="0"/>
        <w:adjustRightInd w:val="0"/>
        <w:spacing w:before="240" w:after="0" w:line="240" w:lineRule="auto"/>
        <w:jc w:val="both"/>
        <w:rPr>
          <w:rFonts w:cs="Thorndale for VST"/>
          <w:b/>
          <w:color w:val="1F497D" w:themeColor="text2"/>
          <w:sz w:val="36"/>
          <w:szCs w:val="24"/>
        </w:rPr>
      </w:pPr>
      <w:r w:rsidRPr="00D176B4">
        <w:rPr>
          <w:rFonts w:cs="Thorndale for VST"/>
          <w:b/>
          <w:color w:val="1F497D" w:themeColor="text2"/>
          <w:sz w:val="36"/>
          <w:szCs w:val="24"/>
        </w:rPr>
        <w:t>Assessment 1</w:t>
      </w:r>
    </w:p>
    <w:p w:rsidR="002601C0" w:rsidRPr="00D176B4" w:rsidRDefault="00C63EB2"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Q1 </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You are employed to investigate whether any accrual entries are needed in the business of Safe Security Services (SSS). On completion of your investigation on 30 June, you have discovered that the following items need attention: </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1. Employee salaries owed but not recorded, </w:t>
      </w:r>
      <w:r w:rsidRPr="00D176B4">
        <w:rPr>
          <w:rFonts w:cs="Thorndale for VST"/>
          <w:sz w:val="24"/>
          <w:szCs w:val="24"/>
        </w:rPr>
        <w:tab/>
        <w:t>$9200.</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2. Prepaid insurance expired, </w:t>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t xml:space="preserve">$900. </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3. Interest revenue accrued but not recorded, </w:t>
      </w:r>
      <w:r w:rsidRPr="00D176B4">
        <w:rPr>
          <w:rFonts w:cs="Thorndale for VST"/>
          <w:sz w:val="24"/>
          <w:szCs w:val="24"/>
        </w:rPr>
        <w:tab/>
        <w:t xml:space="preserve">$10 000. </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4. Unearned security services revenue now earned, </w:t>
      </w:r>
      <w:r w:rsidRPr="00D176B4">
        <w:rPr>
          <w:rFonts w:cs="Thorndale for VST"/>
          <w:sz w:val="24"/>
          <w:szCs w:val="24"/>
        </w:rPr>
        <w:tab/>
        <w:t xml:space="preserve">$4600. </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5. Depreciation not recorded, </w:t>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t>$16 000.</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Required</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A. Prepare the adjusting entries for items 1 to 5 at 30 June, the end of the accounting period. </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B. Suppose the adjusting entries in requirement A were not made. Calculate the total overstatement or understatement of profit as a result of the omission of these adjustments.</w:t>
      </w:r>
    </w:p>
    <w:p w:rsidR="002601C0" w:rsidRPr="00D176B4" w:rsidRDefault="002601C0" w:rsidP="00D176B4">
      <w:pPr>
        <w:autoSpaceDE w:val="0"/>
        <w:autoSpaceDN w:val="0"/>
        <w:adjustRightInd w:val="0"/>
        <w:spacing w:before="240" w:after="0" w:line="240" w:lineRule="auto"/>
        <w:jc w:val="both"/>
        <w:rPr>
          <w:rFonts w:cs="Thorndale for VST"/>
          <w:sz w:val="24"/>
          <w:szCs w:val="24"/>
        </w:rPr>
      </w:pPr>
    </w:p>
    <w:p w:rsidR="002601C0" w:rsidRPr="00D176B4" w:rsidRDefault="00C63EB2"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Q2</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Selected accounts of Rikki’s Real Estate are shown below at 30 June of the current year before any adjusting entries have been made.</w:t>
      </w:r>
    </w:p>
    <w:p w:rsidR="002601C0" w:rsidRPr="00D176B4" w:rsidRDefault="002601C0" w:rsidP="00D176B4">
      <w:pPr>
        <w:autoSpaceDE w:val="0"/>
        <w:autoSpaceDN w:val="0"/>
        <w:adjustRightInd w:val="0"/>
        <w:spacing w:after="0" w:line="240" w:lineRule="auto"/>
        <w:ind w:left="3600" w:firstLine="720"/>
        <w:jc w:val="both"/>
        <w:rPr>
          <w:rFonts w:cs="Thorndale for VST"/>
          <w:sz w:val="24"/>
          <w:szCs w:val="24"/>
        </w:rPr>
      </w:pPr>
      <w:r w:rsidRPr="00D176B4">
        <w:rPr>
          <w:rFonts w:cs="Thorndale for VST"/>
          <w:sz w:val="24"/>
          <w:szCs w:val="24"/>
        </w:rPr>
        <w:t xml:space="preserve">Debit           </w:t>
      </w:r>
      <w:r w:rsidRPr="00D176B4">
        <w:rPr>
          <w:rFonts w:cs="Thorndale for VST"/>
          <w:sz w:val="24"/>
          <w:szCs w:val="24"/>
        </w:rPr>
        <w:tab/>
        <w:t xml:space="preserve"> Credit</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 xml:space="preserve">Prepaid Insurance </w:t>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t>$ 1200</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 xml:space="preserve">Supplies </w:t>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t xml:space="preserve">     550</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 xml:space="preserve">Office Equipment </w:t>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t xml:space="preserve">  6 000</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 xml:space="preserve">Unearned Rental Fees </w:t>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t>$ 4200</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 xml:space="preserve">Salaries Expense </w:t>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t>29 800</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Rental Fees Revenue</w:t>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r>
      <w:r w:rsidRPr="00D176B4">
        <w:rPr>
          <w:rFonts w:cs="Thorndale for VST"/>
          <w:sz w:val="24"/>
          <w:szCs w:val="24"/>
        </w:rPr>
        <w:tab/>
        <w:t>13 200</w:t>
      </w:r>
    </w:p>
    <w:p w:rsidR="002601C0" w:rsidRPr="00D176B4" w:rsidRDefault="002601C0" w:rsidP="00D176B4">
      <w:pPr>
        <w:autoSpaceDE w:val="0"/>
        <w:autoSpaceDN w:val="0"/>
        <w:adjustRightInd w:val="0"/>
        <w:spacing w:after="0" w:line="240" w:lineRule="auto"/>
        <w:jc w:val="both"/>
        <w:rPr>
          <w:rFonts w:cs="Thorndale for VST"/>
          <w:sz w:val="24"/>
          <w:szCs w:val="24"/>
        </w:rPr>
      </w:pP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Additional information</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 xml:space="preserve"> (a) Prepaid insurance represents premiums for 1 year paid on 1 June. </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 xml:space="preserve">(b) Supplies of $200 were on hand at 30 June. </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 xml:space="preserve">(c) Office equipment, which had been purchased on 1 April, is expected to last 5 years. </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 xml:space="preserve">(d) Rikki collected 4 months’ rent in advance on 1 June from a number of tenants. </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(e) Accrued salaries not recorded as at 30 June are $3500.</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lastRenderedPageBreak/>
        <w:t>Required</w:t>
      </w:r>
    </w:p>
    <w:p w:rsidR="002601C0" w:rsidRPr="00D176B4" w:rsidRDefault="002601C0" w:rsidP="00D176B4">
      <w:pPr>
        <w:autoSpaceDE w:val="0"/>
        <w:autoSpaceDN w:val="0"/>
        <w:adjustRightInd w:val="0"/>
        <w:spacing w:after="0" w:line="240" w:lineRule="auto"/>
        <w:jc w:val="both"/>
        <w:rPr>
          <w:rFonts w:cs="Thorndale for VST"/>
          <w:sz w:val="24"/>
          <w:szCs w:val="24"/>
        </w:rPr>
      </w:pPr>
      <w:r w:rsidRPr="00D176B4">
        <w:rPr>
          <w:rFonts w:cs="Thorndale for VST"/>
          <w:sz w:val="24"/>
          <w:szCs w:val="24"/>
        </w:rPr>
        <w:t>Record in the general journal the necessary adjusting entries on 30 June.</w:t>
      </w:r>
    </w:p>
    <w:p w:rsidR="002601C0" w:rsidRPr="00D176B4" w:rsidRDefault="002601C0" w:rsidP="00D176B4">
      <w:pPr>
        <w:autoSpaceDE w:val="0"/>
        <w:autoSpaceDN w:val="0"/>
        <w:adjustRightInd w:val="0"/>
        <w:spacing w:after="0" w:line="240" w:lineRule="auto"/>
        <w:jc w:val="both"/>
        <w:rPr>
          <w:rFonts w:cs="Thorndale for VST"/>
          <w:sz w:val="24"/>
          <w:szCs w:val="24"/>
        </w:rPr>
      </w:pPr>
    </w:p>
    <w:p w:rsidR="002601C0" w:rsidRPr="00D176B4" w:rsidRDefault="002601C0" w:rsidP="00D176B4">
      <w:pPr>
        <w:autoSpaceDE w:val="0"/>
        <w:autoSpaceDN w:val="0"/>
        <w:adjustRightInd w:val="0"/>
        <w:spacing w:after="0" w:line="240" w:lineRule="auto"/>
        <w:jc w:val="both"/>
        <w:rPr>
          <w:rFonts w:cs="Thorndale for VST"/>
          <w:sz w:val="24"/>
          <w:szCs w:val="24"/>
        </w:rPr>
      </w:pPr>
    </w:p>
    <w:p w:rsidR="00C63EB2" w:rsidRPr="00D176B4" w:rsidRDefault="00C63EB2"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Q3</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Subiaco Rental Services ends its financial year on 30 June.</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Required</w:t>
      </w:r>
    </w:p>
    <w:p w:rsidR="00A66F23"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A. Using the following information, make the necessary adjusting entries. </w:t>
      </w:r>
    </w:p>
    <w:p w:rsidR="00A66F23"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1. Rent of office premises of $609 for the 3-month period endi</w:t>
      </w:r>
      <w:r w:rsidR="00A66F23" w:rsidRPr="00D176B4">
        <w:rPr>
          <w:rFonts w:cs="Thorndale for VST"/>
          <w:sz w:val="24"/>
          <w:szCs w:val="24"/>
        </w:rPr>
        <w:t xml:space="preserve">ng 31 July is due to be paid in </w:t>
      </w:r>
      <w:r w:rsidRPr="00D176B4">
        <w:rPr>
          <w:rFonts w:cs="Thorndale for VST"/>
          <w:sz w:val="24"/>
          <w:szCs w:val="24"/>
        </w:rPr>
        <w:t>July.</w:t>
      </w:r>
    </w:p>
    <w:p w:rsidR="00A66F23"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2. The telephone expense of $147 is unpaid and unrecorded at 30 June. </w:t>
      </w:r>
    </w:p>
    <w:p w:rsidR="00A66F23"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3. The Supplies account had a $287 debit balance on 1 July </w:t>
      </w:r>
      <w:r w:rsidR="00A66F23" w:rsidRPr="00D176B4">
        <w:rPr>
          <w:rFonts w:cs="Thorndale for VST"/>
          <w:sz w:val="24"/>
          <w:szCs w:val="24"/>
        </w:rPr>
        <w:t xml:space="preserve">of the preceding year. Supplies </w:t>
      </w:r>
      <w:r w:rsidRPr="00D176B4">
        <w:rPr>
          <w:rFonts w:cs="Thorndale for VST"/>
          <w:sz w:val="24"/>
          <w:szCs w:val="24"/>
        </w:rPr>
        <w:t>costing $1372 were purchased during the year, and $25</w:t>
      </w:r>
      <w:r w:rsidR="00A66F23" w:rsidRPr="00D176B4">
        <w:rPr>
          <w:rFonts w:cs="Thorndale for VST"/>
          <w:sz w:val="24"/>
          <w:szCs w:val="24"/>
        </w:rPr>
        <w:t xml:space="preserve">2 of supplies are on hand as at </w:t>
      </w:r>
      <w:r w:rsidRPr="00D176B4">
        <w:rPr>
          <w:rFonts w:cs="Thorndale for VST"/>
          <w:sz w:val="24"/>
          <w:szCs w:val="24"/>
        </w:rPr>
        <w:t xml:space="preserve">30 June. </w:t>
      </w:r>
    </w:p>
    <w:p w:rsidR="00A66F23"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4. Subiaco Rental Services borrowed $13300 from ABC</w:t>
      </w:r>
      <w:r w:rsidR="00A66F23" w:rsidRPr="00D176B4">
        <w:rPr>
          <w:rFonts w:cs="Thorndale for VST"/>
          <w:sz w:val="24"/>
          <w:szCs w:val="24"/>
        </w:rPr>
        <w:t xml:space="preserve"> Bank on 15 February. The prin</w:t>
      </w:r>
      <w:r w:rsidRPr="00D176B4">
        <w:rPr>
          <w:rFonts w:cs="Thorndale for VST"/>
          <w:sz w:val="24"/>
          <w:szCs w:val="24"/>
        </w:rPr>
        <w:t>cipal, plus 8% interest, is payable on 15 August. Accrued i</w:t>
      </w:r>
      <w:r w:rsidR="00A66F23" w:rsidRPr="00D176B4">
        <w:rPr>
          <w:rFonts w:cs="Thorndale for VST"/>
          <w:sz w:val="24"/>
          <w:szCs w:val="24"/>
        </w:rPr>
        <w:t xml:space="preserve">nterest on 30 June has not been </w:t>
      </w:r>
      <w:r w:rsidRPr="00D176B4">
        <w:rPr>
          <w:rFonts w:cs="Thorndale for VST"/>
          <w:sz w:val="24"/>
          <w:szCs w:val="24"/>
        </w:rPr>
        <w:t xml:space="preserve">recorded. </w:t>
      </w:r>
    </w:p>
    <w:p w:rsidR="00A66F23"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5. Annual depreciation on equipment is estimated to be $6580. The b</w:t>
      </w:r>
      <w:r w:rsidR="00A66F23" w:rsidRPr="00D176B4">
        <w:rPr>
          <w:rFonts w:cs="Thorndale for VST"/>
          <w:sz w:val="24"/>
          <w:szCs w:val="24"/>
        </w:rPr>
        <w:t xml:space="preserve">alance in Accumulated </w:t>
      </w:r>
      <w:r w:rsidRPr="00D176B4">
        <w:rPr>
          <w:rFonts w:cs="Thorndale for VST"/>
          <w:sz w:val="24"/>
          <w:szCs w:val="24"/>
        </w:rPr>
        <w:t xml:space="preserve">Depreciation at the beginning of the financial year was $9870. </w:t>
      </w:r>
    </w:p>
    <w:p w:rsidR="00A66F23"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6. The office assistant earns $280 a day. He will be paid in J</w:t>
      </w:r>
      <w:r w:rsidR="00A66F23" w:rsidRPr="00D176B4">
        <w:rPr>
          <w:rFonts w:cs="Thorndale for VST"/>
          <w:sz w:val="24"/>
          <w:szCs w:val="24"/>
        </w:rPr>
        <w:t xml:space="preserve">uly for the 5-day period ending </w:t>
      </w:r>
      <w:r w:rsidRPr="00D176B4">
        <w:rPr>
          <w:rFonts w:cs="Thorndale for VST"/>
          <w:sz w:val="24"/>
          <w:szCs w:val="24"/>
        </w:rPr>
        <w:t xml:space="preserve">3 July. </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7. On 1 June, Subiaco Rental Services received 2 months rent in advance, totalling $896. This</w:t>
      </w:r>
      <w:r w:rsidR="00A66F23" w:rsidRPr="00D176B4">
        <w:rPr>
          <w:rFonts w:cs="Thorndale for VST"/>
          <w:sz w:val="24"/>
          <w:szCs w:val="24"/>
        </w:rPr>
        <w:t xml:space="preserve"> </w:t>
      </w:r>
      <w:r w:rsidRPr="00D176B4">
        <w:rPr>
          <w:rFonts w:cs="Thorndale for VST"/>
          <w:sz w:val="24"/>
          <w:szCs w:val="24"/>
        </w:rPr>
        <w:t>was recorded by a credit to Unearned Rental Revenue.</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8. Subiaco Rental Services purchased a 6-month insurance policy for $567 on 1 November. A 24-month policy was purchased on 30 April for $1272. Both purchases were recorded by debiting Prepaid Insurance.</w:t>
      </w:r>
    </w:p>
    <w:p w:rsidR="00A66F23"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B. As you know, all adjusting entries affect one balance sheet account and one income statement account. Based on your adjusting entries prepared in requirement A: </w:t>
      </w:r>
    </w:p>
    <w:p w:rsidR="00A66F23"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 xml:space="preserve">1. calculate the increase or decrease in profit </w:t>
      </w:r>
    </w:p>
    <w:p w:rsidR="002601C0" w:rsidRPr="00D176B4" w:rsidRDefault="002601C0" w:rsidP="00D176B4">
      <w:pPr>
        <w:autoSpaceDE w:val="0"/>
        <w:autoSpaceDN w:val="0"/>
        <w:adjustRightInd w:val="0"/>
        <w:spacing w:before="240" w:after="0" w:line="240" w:lineRule="auto"/>
        <w:jc w:val="both"/>
        <w:rPr>
          <w:rFonts w:cs="Thorndale for VST"/>
          <w:sz w:val="24"/>
          <w:szCs w:val="24"/>
        </w:rPr>
      </w:pPr>
      <w:r w:rsidRPr="00D176B4">
        <w:rPr>
          <w:rFonts w:cs="Thorndale for VST"/>
          <w:sz w:val="24"/>
          <w:szCs w:val="24"/>
        </w:rPr>
        <w:t>2. calculate the increase or decrease in total assets, total liabilities and total equity.</w:t>
      </w:r>
    </w:p>
    <w:p w:rsidR="00D176B4" w:rsidRDefault="00D176B4">
      <w:pPr>
        <w:rPr>
          <w:rFonts w:cs="Thorndale for VST"/>
          <w:sz w:val="24"/>
          <w:szCs w:val="24"/>
        </w:rPr>
      </w:pPr>
      <w:r>
        <w:rPr>
          <w:rFonts w:cs="Thorndale for VST"/>
          <w:sz w:val="24"/>
          <w:szCs w:val="24"/>
        </w:rPr>
        <w:br w:type="page"/>
      </w:r>
    </w:p>
    <w:p w:rsidR="00B9016E" w:rsidRPr="00D176B4" w:rsidRDefault="00B9016E" w:rsidP="00D176B4">
      <w:pPr>
        <w:autoSpaceDE w:val="0"/>
        <w:autoSpaceDN w:val="0"/>
        <w:adjustRightInd w:val="0"/>
        <w:spacing w:before="240" w:after="0" w:line="240" w:lineRule="auto"/>
        <w:jc w:val="both"/>
        <w:rPr>
          <w:rFonts w:cs="Thorndale for VST"/>
          <w:sz w:val="24"/>
          <w:szCs w:val="24"/>
        </w:rPr>
      </w:pPr>
    </w:p>
    <w:tbl>
      <w:tblPr>
        <w:tblStyle w:val="GridTable1Light-Accent11"/>
        <w:tblW w:w="5000" w:type="pct"/>
        <w:tblLook w:val="04A0" w:firstRow="1" w:lastRow="0" w:firstColumn="1" w:lastColumn="0" w:noHBand="0" w:noVBand="1"/>
      </w:tblPr>
      <w:tblGrid>
        <w:gridCol w:w="4886"/>
        <w:gridCol w:w="1574"/>
        <w:gridCol w:w="3116"/>
      </w:tblGrid>
      <w:tr w:rsidR="00B9016E" w:rsidRPr="00D176B4" w:rsidTr="00BB4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B9016E" w:rsidRPr="00D176B4" w:rsidRDefault="00B9016E" w:rsidP="00D176B4">
            <w:pPr>
              <w:jc w:val="both"/>
              <w:rPr>
                <w:rFonts w:asciiTheme="minorHAnsi" w:eastAsia="Calibri" w:hAnsiTheme="minorHAnsi" w:cs="Calibri"/>
                <w:sz w:val="24"/>
                <w:szCs w:val="24"/>
              </w:rPr>
            </w:pPr>
            <w:r w:rsidRPr="00D176B4">
              <w:rPr>
                <w:rFonts w:asciiTheme="minorHAnsi" w:eastAsia="Calibri" w:hAnsiTheme="minorHAnsi" w:cs="Calibri"/>
                <w:sz w:val="24"/>
                <w:szCs w:val="24"/>
              </w:rPr>
              <w:t>Assessment Mapping Checklist</w:t>
            </w:r>
          </w:p>
          <w:p w:rsidR="00B9016E" w:rsidRPr="00D176B4" w:rsidRDefault="00B9016E" w:rsidP="00D176B4">
            <w:pPr>
              <w:jc w:val="both"/>
              <w:rPr>
                <w:rFonts w:asciiTheme="minorHAnsi" w:eastAsia="Calibri" w:hAnsiTheme="minorHAnsi" w:cs="Calibri"/>
                <w:sz w:val="24"/>
                <w:szCs w:val="24"/>
              </w:rPr>
            </w:pPr>
            <w:r w:rsidRPr="00D176B4">
              <w:rPr>
                <w:rFonts w:asciiTheme="minorHAnsi" w:eastAsia="Calibri" w:hAnsiTheme="minorHAnsi" w:cs="Calibri"/>
                <w:sz w:val="24"/>
                <w:szCs w:val="24"/>
              </w:rPr>
              <w:t>Learner</w:t>
            </w:r>
            <w:r w:rsidRPr="00D176B4">
              <w:rPr>
                <w:rFonts w:asciiTheme="minorHAnsi" w:eastAsia="Calibri" w:hAnsiTheme="minorHAnsi" w:cs="Calibri"/>
                <w:spacing w:val="-2"/>
                <w:sz w:val="24"/>
                <w:szCs w:val="24"/>
              </w:rPr>
              <w:t xml:space="preserve"> </w:t>
            </w:r>
            <w:r w:rsidRPr="00D176B4">
              <w:rPr>
                <w:rFonts w:asciiTheme="minorHAnsi" w:eastAsia="Calibri" w:hAnsiTheme="minorHAnsi" w:cs="Calibri"/>
                <w:sz w:val="24"/>
                <w:szCs w:val="24"/>
              </w:rPr>
              <w:t>N</w:t>
            </w:r>
            <w:r w:rsidRPr="00D176B4">
              <w:rPr>
                <w:rFonts w:asciiTheme="minorHAnsi" w:eastAsia="Calibri" w:hAnsiTheme="minorHAnsi" w:cs="Calibri"/>
                <w:spacing w:val="-1"/>
                <w:sz w:val="24"/>
                <w:szCs w:val="24"/>
              </w:rPr>
              <w:t>a</w:t>
            </w:r>
            <w:r w:rsidRPr="00D176B4">
              <w:rPr>
                <w:rFonts w:asciiTheme="minorHAnsi" w:eastAsia="Calibri" w:hAnsiTheme="minorHAnsi" w:cs="Calibri"/>
                <w:spacing w:val="-2"/>
                <w:sz w:val="24"/>
                <w:szCs w:val="24"/>
              </w:rPr>
              <w:t>m</w:t>
            </w:r>
            <w:r w:rsidRPr="00D176B4">
              <w:rPr>
                <w:rFonts w:asciiTheme="minorHAnsi" w:eastAsia="Calibri" w:hAnsiTheme="minorHAnsi" w:cs="Calibri"/>
                <w:sz w:val="24"/>
                <w:szCs w:val="24"/>
              </w:rPr>
              <w:t>e</w:t>
            </w:r>
            <w:r w:rsidRPr="00D176B4">
              <w:rPr>
                <w:rFonts w:asciiTheme="minorHAnsi" w:eastAsia="Calibri" w:hAnsiTheme="minorHAnsi" w:cs="Calibri"/>
                <w:spacing w:val="1"/>
                <w:sz w:val="24"/>
                <w:szCs w:val="24"/>
              </w:rPr>
              <w:t>/</w:t>
            </w:r>
            <w:r w:rsidRPr="00D176B4">
              <w:rPr>
                <w:rFonts w:asciiTheme="minorHAnsi" w:eastAsia="Calibri" w:hAnsiTheme="minorHAnsi" w:cs="Calibri"/>
                <w:spacing w:val="-3"/>
                <w:sz w:val="24"/>
                <w:szCs w:val="24"/>
              </w:rPr>
              <w:t>I</w:t>
            </w:r>
            <w:r w:rsidRPr="00D176B4">
              <w:rPr>
                <w:rFonts w:asciiTheme="minorHAnsi" w:eastAsia="Calibri" w:hAnsiTheme="minorHAnsi" w:cs="Calibri"/>
                <w:sz w:val="24"/>
                <w:szCs w:val="24"/>
              </w:rPr>
              <w:t>D: ___________________________________</w:t>
            </w:r>
          </w:p>
        </w:tc>
      </w:tr>
      <w:tr w:rsidR="00B9016E" w:rsidRPr="00D176B4" w:rsidTr="00BB4034">
        <w:tc>
          <w:tcPr>
            <w:cnfStyle w:val="001000000000" w:firstRow="0" w:lastRow="0" w:firstColumn="1" w:lastColumn="0" w:oddVBand="0" w:evenVBand="0" w:oddHBand="0" w:evenHBand="0" w:firstRowFirstColumn="0" w:firstRowLastColumn="0" w:lastRowFirstColumn="0" w:lastRowLastColumn="0"/>
            <w:tcW w:w="4886" w:type="dxa"/>
          </w:tcPr>
          <w:p w:rsidR="00B9016E" w:rsidRPr="00D176B4" w:rsidRDefault="00B9016E" w:rsidP="00D176B4">
            <w:pPr>
              <w:jc w:val="both"/>
              <w:rPr>
                <w:rFonts w:asciiTheme="minorHAnsi" w:hAnsiTheme="minorHAnsi"/>
                <w:sz w:val="24"/>
                <w:szCs w:val="24"/>
              </w:rPr>
            </w:pPr>
            <w:r w:rsidRPr="00D176B4">
              <w:rPr>
                <w:rFonts w:asciiTheme="minorHAnsi" w:hAnsiTheme="minorHAnsi"/>
                <w:sz w:val="24"/>
                <w:szCs w:val="24"/>
              </w:rPr>
              <w:t>Performance &amp; Knowledge Evidence</w:t>
            </w:r>
          </w:p>
        </w:tc>
        <w:tc>
          <w:tcPr>
            <w:tcW w:w="1574" w:type="dxa"/>
          </w:tcPr>
          <w:p w:rsidR="00B9016E" w:rsidRPr="00D176B4" w:rsidRDefault="00B9016E"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D176B4">
              <w:rPr>
                <w:rFonts w:asciiTheme="minorHAnsi" w:eastAsia="Calibri" w:hAnsiTheme="minorHAnsi" w:cs="Calibri"/>
                <w:b/>
                <w:sz w:val="24"/>
                <w:szCs w:val="24"/>
              </w:rPr>
              <w:t>C/NYC</w:t>
            </w:r>
          </w:p>
        </w:tc>
        <w:tc>
          <w:tcPr>
            <w:tcW w:w="3116" w:type="dxa"/>
          </w:tcPr>
          <w:p w:rsidR="00B9016E" w:rsidRPr="00D176B4" w:rsidRDefault="00B9016E"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D176B4">
              <w:rPr>
                <w:rFonts w:asciiTheme="minorHAnsi" w:hAnsiTheme="minorHAnsi"/>
                <w:b/>
                <w:sz w:val="24"/>
                <w:szCs w:val="24"/>
              </w:rPr>
              <w:t>Comments</w:t>
            </w:r>
          </w:p>
        </w:tc>
      </w:tr>
      <w:tr w:rsidR="00B9016E" w:rsidRPr="00D176B4" w:rsidTr="00BB4034">
        <w:tc>
          <w:tcPr>
            <w:cnfStyle w:val="001000000000" w:firstRow="0" w:lastRow="0" w:firstColumn="1" w:lastColumn="0" w:oddVBand="0" w:evenVBand="0" w:oddHBand="0" w:evenHBand="0" w:firstRowFirstColumn="0" w:firstRowLastColumn="0" w:lastRowFirstColumn="0" w:lastRowLastColumn="0"/>
            <w:tcW w:w="4886" w:type="dxa"/>
          </w:tcPr>
          <w:p w:rsidR="00B9016E" w:rsidRPr="00D176B4" w:rsidRDefault="00B9016E" w:rsidP="00D176B4">
            <w:pPr>
              <w:jc w:val="both"/>
              <w:rPr>
                <w:rFonts w:asciiTheme="minorHAnsi" w:hAnsiTheme="minorHAnsi"/>
                <w:sz w:val="24"/>
                <w:szCs w:val="24"/>
              </w:rPr>
            </w:pPr>
            <w:r w:rsidRPr="00D176B4">
              <w:rPr>
                <w:rFonts w:asciiTheme="minorHAnsi" w:hAnsiTheme="minorHAnsi"/>
                <w:sz w:val="24"/>
                <w:szCs w:val="24"/>
              </w:rPr>
              <w:t>Performance Evidence</w:t>
            </w:r>
          </w:p>
        </w:tc>
        <w:tc>
          <w:tcPr>
            <w:tcW w:w="1574" w:type="dxa"/>
          </w:tcPr>
          <w:p w:rsidR="00B9016E" w:rsidRPr="00D176B4" w:rsidRDefault="00B9016E"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p>
        </w:tc>
        <w:tc>
          <w:tcPr>
            <w:tcW w:w="3116" w:type="dxa"/>
          </w:tcPr>
          <w:p w:rsidR="00B9016E" w:rsidRPr="00D176B4" w:rsidRDefault="00B9016E"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p>
        </w:tc>
      </w:tr>
      <w:tr w:rsidR="00BB4034" w:rsidRPr="00D176B4" w:rsidTr="00BB4034">
        <w:trPr>
          <w:trHeight w:val="419"/>
        </w:trPr>
        <w:tc>
          <w:tcPr>
            <w:cnfStyle w:val="001000000000" w:firstRow="0" w:lastRow="0" w:firstColumn="1" w:lastColumn="0" w:oddVBand="0" w:evenVBand="0" w:oddHBand="0" w:evenHBand="0" w:firstRowFirstColumn="0" w:firstRowLastColumn="0" w:lastRowFirstColumn="0" w:lastRowLastColumn="0"/>
            <w:tcW w:w="4886" w:type="dxa"/>
            <w:vAlign w:val="center"/>
          </w:tcPr>
          <w:p w:rsidR="00BB4034" w:rsidRPr="00D176B4" w:rsidRDefault="00BB4034"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produce a detailed asset register and depreciation schedule</w:t>
            </w:r>
          </w:p>
        </w:tc>
        <w:tc>
          <w:tcPr>
            <w:tcW w:w="1574"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c>
          <w:tcPr>
            <w:tcW w:w="3116"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r>
      <w:tr w:rsidR="00BB4034" w:rsidRPr="00D176B4" w:rsidTr="00BB4034">
        <w:trPr>
          <w:trHeight w:val="419"/>
        </w:trPr>
        <w:tc>
          <w:tcPr>
            <w:cnfStyle w:val="001000000000" w:firstRow="0" w:lastRow="0" w:firstColumn="1" w:lastColumn="0" w:oddVBand="0" w:evenVBand="0" w:oddHBand="0" w:evenHBand="0" w:firstRowFirstColumn="0" w:firstRowLastColumn="0" w:lastRowFirstColumn="0" w:lastRowLastColumn="0"/>
            <w:tcW w:w="4886" w:type="dxa"/>
            <w:vAlign w:val="center"/>
          </w:tcPr>
          <w:p w:rsidR="00BB4034" w:rsidRPr="00D176B4" w:rsidRDefault="00BB4034"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accurately record entries for balance day adjustments</w:t>
            </w:r>
          </w:p>
        </w:tc>
        <w:tc>
          <w:tcPr>
            <w:tcW w:w="1574"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c>
          <w:tcPr>
            <w:tcW w:w="3116"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r>
      <w:tr w:rsidR="00BB4034" w:rsidRPr="00D176B4" w:rsidTr="00BB4034">
        <w:trPr>
          <w:trHeight w:val="419"/>
        </w:trPr>
        <w:tc>
          <w:tcPr>
            <w:cnfStyle w:val="001000000000" w:firstRow="0" w:lastRow="0" w:firstColumn="1" w:lastColumn="0" w:oddVBand="0" w:evenVBand="0" w:oddHBand="0" w:evenHBand="0" w:firstRowFirstColumn="0" w:firstRowLastColumn="0" w:lastRowFirstColumn="0" w:lastRowLastColumn="0"/>
            <w:tcW w:w="4886" w:type="dxa"/>
            <w:vAlign w:val="center"/>
          </w:tcPr>
          <w:p w:rsidR="00BB4034" w:rsidRPr="00D176B4" w:rsidRDefault="00BB4034"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prepare financial reports</w:t>
            </w:r>
          </w:p>
        </w:tc>
        <w:tc>
          <w:tcPr>
            <w:tcW w:w="1574"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c>
          <w:tcPr>
            <w:tcW w:w="3116"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r>
      <w:tr w:rsidR="00BB4034" w:rsidRPr="00D176B4" w:rsidTr="00BB4034">
        <w:trPr>
          <w:trHeight w:val="419"/>
        </w:trPr>
        <w:tc>
          <w:tcPr>
            <w:cnfStyle w:val="001000000000" w:firstRow="0" w:lastRow="0" w:firstColumn="1" w:lastColumn="0" w:oddVBand="0" w:evenVBand="0" w:oddHBand="0" w:evenHBand="0" w:firstRowFirstColumn="0" w:firstRowLastColumn="0" w:lastRowFirstColumn="0" w:lastRowLastColumn="0"/>
            <w:tcW w:w="4886" w:type="dxa"/>
            <w:vAlign w:val="center"/>
          </w:tcPr>
          <w:p w:rsidR="00BB4034" w:rsidRPr="00D176B4" w:rsidRDefault="00BB4034"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trace and reconcile errors systematically or seek expert advice if required</w:t>
            </w:r>
          </w:p>
        </w:tc>
        <w:tc>
          <w:tcPr>
            <w:tcW w:w="1574"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c>
          <w:tcPr>
            <w:tcW w:w="3116"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r>
      <w:tr w:rsidR="00BB4034" w:rsidRPr="00D176B4" w:rsidTr="00BB4034">
        <w:trPr>
          <w:trHeight w:val="419"/>
        </w:trPr>
        <w:tc>
          <w:tcPr>
            <w:cnfStyle w:val="001000000000" w:firstRow="0" w:lastRow="0" w:firstColumn="1" w:lastColumn="0" w:oddVBand="0" w:evenVBand="0" w:oddHBand="0" w:evenHBand="0" w:firstRowFirstColumn="0" w:firstRowLastColumn="0" w:lastRowFirstColumn="0" w:lastRowLastColumn="0"/>
            <w:tcW w:w="4886" w:type="dxa"/>
            <w:vAlign w:val="center"/>
          </w:tcPr>
          <w:p w:rsidR="00BB4034" w:rsidRPr="00D176B4" w:rsidRDefault="00BB4034"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apply double-entry principles</w:t>
            </w:r>
          </w:p>
        </w:tc>
        <w:tc>
          <w:tcPr>
            <w:tcW w:w="1574"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c>
          <w:tcPr>
            <w:tcW w:w="3116"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r>
      <w:tr w:rsidR="00BB4034" w:rsidRPr="00D176B4" w:rsidTr="00BB4034">
        <w:trPr>
          <w:trHeight w:val="419"/>
        </w:trPr>
        <w:tc>
          <w:tcPr>
            <w:cnfStyle w:val="001000000000" w:firstRow="0" w:lastRow="0" w:firstColumn="1" w:lastColumn="0" w:oddVBand="0" w:evenVBand="0" w:oddHBand="0" w:evenHBand="0" w:firstRowFirstColumn="0" w:firstRowLastColumn="0" w:lastRowFirstColumn="0" w:lastRowLastColumn="0"/>
            <w:tcW w:w="4886" w:type="dxa"/>
            <w:vAlign w:val="center"/>
          </w:tcPr>
          <w:p w:rsidR="00BB4034" w:rsidRPr="00D176B4" w:rsidRDefault="00BB4034"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complete all tasks according to organisational policies and industry standards</w:t>
            </w:r>
          </w:p>
          <w:p w:rsidR="00B01D0F" w:rsidRPr="00D176B4" w:rsidRDefault="00B01D0F" w:rsidP="00D176B4">
            <w:pPr>
              <w:pStyle w:val="ListParagraph"/>
              <w:spacing w:after="0"/>
              <w:jc w:val="both"/>
              <w:rPr>
                <w:rFonts w:asciiTheme="minorHAnsi" w:hAnsiTheme="minorHAnsi"/>
                <w:b w:val="0"/>
                <w:color w:val="000000"/>
              </w:rPr>
            </w:pPr>
          </w:p>
        </w:tc>
        <w:tc>
          <w:tcPr>
            <w:tcW w:w="1574"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c>
          <w:tcPr>
            <w:tcW w:w="3116" w:type="dxa"/>
          </w:tcPr>
          <w:p w:rsidR="00BB4034" w:rsidRPr="00D176B4" w:rsidRDefault="00BB4034" w:rsidP="00D176B4">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r>
      <w:tr w:rsidR="00B9016E" w:rsidRPr="00D176B4" w:rsidTr="00BB4034">
        <w:tc>
          <w:tcPr>
            <w:cnfStyle w:val="001000000000" w:firstRow="0" w:lastRow="0" w:firstColumn="1" w:lastColumn="0" w:oddVBand="0" w:evenVBand="0" w:oddHBand="0" w:evenHBand="0" w:firstRowFirstColumn="0" w:firstRowLastColumn="0" w:lastRowFirstColumn="0" w:lastRowLastColumn="0"/>
            <w:tcW w:w="4886" w:type="dxa"/>
          </w:tcPr>
          <w:p w:rsidR="00B9016E" w:rsidRPr="00D176B4" w:rsidRDefault="00B9016E" w:rsidP="00D176B4">
            <w:pPr>
              <w:jc w:val="both"/>
              <w:rPr>
                <w:rFonts w:asciiTheme="minorHAnsi" w:hAnsiTheme="minorHAnsi"/>
                <w:sz w:val="24"/>
                <w:szCs w:val="24"/>
              </w:rPr>
            </w:pPr>
            <w:r w:rsidRPr="00D176B4">
              <w:rPr>
                <w:rFonts w:asciiTheme="minorHAnsi" w:hAnsiTheme="minorHAnsi"/>
                <w:sz w:val="24"/>
                <w:szCs w:val="24"/>
              </w:rPr>
              <w:t>Knowledge Evidence</w:t>
            </w:r>
          </w:p>
        </w:tc>
        <w:tc>
          <w:tcPr>
            <w:tcW w:w="1574" w:type="dxa"/>
          </w:tcPr>
          <w:p w:rsidR="00B9016E" w:rsidRPr="00D176B4" w:rsidRDefault="00B9016E"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9016E" w:rsidRPr="00D176B4" w:rsidRDefault="00B9016E"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A34436">
        <w:tc>
          <w:tcPr>
            <w:cnfStyle w:val="001000000000" w:firstRow="0" w:lastRow="0" w:firstColumn="1" w:lastColumn="0" w:oddVBand="0" w:evenVBand="0" w:oddHBand="0" w:evenHBand="0" w:firstRowFirstColumn="0" w:firstRowLastColumn="0" w:lastRowFirstColumn="0" w:lastRowLastColumn="0"/>
            <w:tcW w:w="4886" w:type="dxa"/>
            <w:vAlign w:val="center"/>
          </w:tcPr>
          <w:p w:rsidR="00B01D0F" w:rsidRPr="00D176B4" w:rsidRDefault="00B01D0F"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explain double</w:t>
            </w:r>
            <w:r w:rsidRPr="00D176B4">
              <w:rPr>
                <w:rFonts w:asciiTheme="minorHAnsi" w:hAnsiTheme="minorHAnsi"/>
                <w:b w:val="0"/>
                <w:color w:val="000000"/>
              </w:rPr>
              <w:noBreakHyphen/>
              <w:t>entry bookkeeping principles</w:t>
            </w:r>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A34436">
        <w:tc>
          <w:tcPr>
            <w:cnfStyle w:val="001000000000" w:firstRow="0" w:lastRow="0" w:firstColumn="1" w:lastColumn="0" w:oddVBand="0" w:evenVBand="0" w:oddHBand="0" w:evenHBand="0" w:firstRowFirstColumn="0" w:firstRowLastColumn="0" w:lastRowFirstColumn="0" w:lastRowLastColumn="0"/>
            <w:tcW w:w="4886" w:type="dxa"/>
            <w:vAlign w:val="center"/>
          </w:tcPr>
          <w:p w:rsidR="00B01D0F" w:rsidRPr="00D176B4" w:rsidRDefault="00B01D0F" w:rsidP="00D176B4">
            <w:pPr>
              <w:pStyle w:val="ListParagraph"/>
              <w:numPr>
                <w:ilvl w:val="0"/>
                <w:numId w:val="3"/>
              </w:numPr>
              <w:spacing w:after="0"/>
              <w:jc w:val="both"/>
              <w:rPr>
                <w:rFonts w:asciiTheme="minorHAnsi" w:hAnsiTheme="minorHAnsi"/>
                <w:b w:val="0"/>
                <w:color w:val="000000"/>
              </w:rPr>
            </w:pPr>
            <w:bookmarkStart w:id="0" w:name="RANGE!A15"/>
            <w:r w:rsidRPr="00D176B4">
              <w:rPr>
                <w:rFonts w:asciiTheme="minorHAnsi" w:hAnsiTheme="minorHAnsi"/>
                <w:b w:val="0"/>
                <w:color w:val="000000"/>
              </w:rPr>
              <w:t>identify general journal and general ledger entries</w:t>
            </w:r>
            <w:bookmarkEnd w:id="0"/>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A34436">
        <w:tc>
          <w:tcPr>
            <w:cnfStyle w:val="001000000000" w:firstRow="0" w:lastRow="0" w:firstColumn="1" w:lastColumn="0" w:oddVBand="0" w:evenVBand="0" w:oddHBand="0" w:evenHBand="0" w:firstRowFirstColumn="0" w:firstRowLastColumn="0" w:lastRowFirstColumn="0" w:lastRowLastColumn="0"/>
            <w:tcW w:w="4886" w:type="dxa"/>
            <w:vAlign w:val="center"/>
          </w:tcPr>
          <w:p w:rsidR="00B01D0F" w:rsidRPr="00D176B4" w:rsidRDefault="00B01D0F"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list the key provisions of relevant legislation, regulations, standards and codes of practice that may preparation of financial reports</w:t>
            </w:r>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A34436">
        <w:tc>
          <w:tcPr>
            <w:cnfStyle w:val="001000000000" w:firstRow="0" w:lastRow="0" w:firstColumn="1" w:lastColumn="0" w:oddVBand="0" w:evenVBand="0" w:oddHBand="0" w:evenHBand="0" w:firstRowFirstColumn="0" w:firstRowLastColumn="0" w:lastRowFirstColumn="0" w:lastRowLastColumn="0"/>
            <w:tcW w:w="4886" w:type="dxa"/>
            <w:vAlign w:val="center"/>
          </w:tcPr>
          <w:p w:rsidR="00B01D0F" w:rsidRPr="00D176B4" w:rsidRDefault="00B01D0F"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describe organisational accounting systems</w:t>
            </w:r>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A34436">
        <w:tc>
          <w:tcPr>
            <w:cnfStyle w:val="001000000000" w:firstRow="0" w:lastRow="0" w:firstColumn="1" w:lastColumn="0" w:oddVBand="0" w:evenVBand="0" w:oddHBand="0" w:evenHBand="0" w:firstRowFirstColumn="0" w:firstRowLastColumn="0" w:lastRowFirstColumn="0" w:lastRowLastColumn="0"/>
            <w:tcW w:w="4886" w:type="dxa"/>
            <w:vAlign w:val="center"/>
          </w:tcPr>
          <w:p w:rsidR="00B01D0F" w:rsidRPr="00D176B4" w:rsidRDefault="00B01D0F" w:rsidP="00D176B4">
            <w:pPr>
              <w:pStyle w:val="ListParagraph"/>
              <w:numPr>
                <w:ilvl w:val="0"/>
                <w:numId w:val="3"/>
              </w:numPr>
              <w:spacing w:after="0"/>
              <w:jc w:val="both"/>
              <w:rPr>
                <w:rFonts w:asciiTheme="minorHAnsi" w:hAnsiTheme="minorHAnsi"/>
                <w:b w:val="0"/>
                <w:color w:val="000000"/>
              </w:rPr>
            </w:pPr>
            <w:bookmarkStart w:id="1" w:name="_GoBack"/>
            <w:bookmarkEnd w:id="1"/>
            <w:r w:rsidRPr="00D176B4">
              <w:rPr>
                <w:rFonts w:asciiTheme="minorHAnsi" w:hAnsiTheme="minorHAnsi"/>
                <w:b w:val="0"/>
                <w:color w:val="000000"/>
              </w:rPr>
              <w:t>outline typical errors that can be made in processing financial transactions</w:t>
            </w:r>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A34436">
        <w:tc>
          <w:tcPr>
            <w:cnfStyle w:val="001000000000" w:firstRow="0" w:lastRow="0" w:firstColumn="1" w:lastColumn="0" w:oddVBand="0" w:evenVBand="0" w:oddHBand="0" w:evenHBand="0" w:firstRowFirstColumn="0" w:firstRowLastColumn="0" w:lastRowFirstColumn="0" w:lastRowLastColumn="0"/>
            <w:tcW w:w="4886" w:type="dxa"/>
            <w:vAlign w:val="center"/>
          </w:tcPr>
          <w:p w:rsidR="00B01D0F" w:rsidRPr="00D176B4" w:rsidRDefault="00B01D0F"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describe forms of ‘proof of lodgement’</w:t>
            </w:r>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BB4034">
        <w:tc>
          <w:tcPr>
            <w:cnfStyle w:val="001000000000" w:firstRow="0" w:lastRow="0" w:firstColumn="1" w:lastColumn="0" w:oddVBand="0" w:evenVBand="0" w:oddHBand="0" w:evenHBand="0" w:firstRowFirstColumn="0" w:firstRowLastColumn="0" w:lastRowFirstColumn="0" w:lastRowLastColumn="0"/>
            <w:tcW w:w="4886" w:type="dxa"/>
            <w:vAlign w:val="center"/>
          </w:tcPr>
          <w:p w:rsidR="00B01D0F" w:rsidRPr="00D176B4" w:rsidRDefault="00B01D0F"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describe types of ‘special transactions’</w:t>
            </w:r>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A34436">
        <w:trPr>
          <w:trHeight w:val="778"/>
        </w:trPr>
        <w:tc>
          <w:tcPr>
            <w:cnfStyle w:val="001000000000" w:firstRow="0" w:lastRow="0" w:firstColumn="1" w:lastColumn="0" w:oddVBand="0" w:evenVBand="0" w:oddHBand="0" w:evenHBand="0" w:firstRowFirstColumn="0" w:firstRowLastColumn="0" w:lastRowFirstColumn="0" w:lastRowLastColumn="0"/>
            <w:tcW w:w="4886" w:type="dxa"/>
            <w:vAlign w:val="center"/>
          </w:tcPr>
          <w:p w:rsidR="00D176B4" w:rsidRPr="00D176B4" w:rsidRDefault="00D176B4" w:rsidP="00D176B4">
            <w:pPr>
              <w:jc w:val="both"/>
              <w:rPr>
                <w:rFonts w:asciiTheme="minorHAnsi" w:hAnsiTheme="minorHAnsi"/>
                <w:color w:val="000000"/>
              </w:rPr>
            </w:pPr>
            <w:r w:rsidRPr="00D176B4">
              <w:rPr>
                <w:rFonts w:asciiTheme="minorHAnsi" w:hAnsiTheme="minorHAnsi"/>
                <w:b w:val="0"/>
                <w:color w:val="000000"/>
                <w:sz w:val="24"/>
                <w:szCs w:val="24"/>
              </w:rPr>
              <w:t>I</w:t>
            </w:r>
            <w:r w:rsidRPr="00D176B4">
              <w:rPr>
                <w:rFonts w:asciiTheme="minorHAnsi" w:hAnsiTheme="minorHAnsi"/>
                <w:b w:val="0"/>
                <w:color w:val="000000"/>
                <w:sz w:val="24"/>
                <w:szCs w:val="24"/>
              </w:rPr>
              <w:t>dentify and describe the key features of:</w:t>
            </w:r>
          </w:p>
          <w:p w:rsidR="00B01D0F" w:rsidRPr="00D176B4" w:rsidRDefault="00B01D0F"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industry codes of practice</w:t>
            </w:r>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A34436">
        <w:trPr>
          <w:trHeight w:val="778"/>
        </w:trPr>
        <w:tc>
          <w:tcPr>
            <w:cnfStyle w:val="001000000000" w:firstRow="0" w:lastRow="0" w:firstColumn="1" w:lastColumn="0" w:oddVBand="0" w:evenVBand="0" w:oddHBand="0" w:evenHBand="0" w:firstRowFirstColumn="0" w:firstRowLastColumn="0" w:lastRowFirstColumn="0" w:lastRowLastColumn="0"/>
            <w:tcW w:w="4886" w:type="dxa"/>
            <w:vAlign w:val="center"/>
          </w:tcPr>
          <w:p w:rsidR="00B01D0F" w:rsidRPr="00D176B4" w:rsidRDefault="00B01D0F"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legislative and regulatory requirements relevant to the work</w:t>
            </w:r>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A34436">
        <w:trPr>
          <w:trHeight w:val="778"/>
        </w:trPr>
        <w:tc>
          <w:tcPr>
            <w:cnfStyle w:val="001000000000" w:firstRow="0" w:lastRow="0" w:firstColumn="1" w:lastColumn="0" w:oddVBand="0" w:evenVBand="0" w:oddHBand="0" w:evenHBand="0" w:firstRowFirstColumn="0" w:firstRowLastColumn="0" w:lastRowFirstColumn="0" w:lastRowLastColumn="0"/>
            <w:tcW w:w="4886" w:type="dxa"/>
            <w:vAlign w:val="center"/>
          </w:tcPr>
          <w:p w:rsidR="00B01D0F" w:rsidRPr="00D176B4" w:rsidRDefault="00B01D0F"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lastRenderedPageBreak/>
              <w:t>organisational policy and procedures</w:t>
            </w:r>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A34436">
        <w:trPr>
          <w:trHeight w:val="778"/>
        </w:trPr>
        <w:tc>
          <w:tcPr>
            <w:cnfStyle w:val="001000000000" w:firstRow="0" w:lastRow="0" w:firstColumn="1" w:lastColumn="0" w:oddVBand="0" w:evenVBand="0" w:oddHBand="0" w:evenHBand="0" w:firstRowFirstColumn="0" w:firstRowLastColumn="0" w:lastRowFirstColumn="0" w:lastRowLastColumn="0"/>
            <w:tcW w:w="4886" w:type="dxa"/>
            <w:vAlign w:val="center"/>
          </w:tcPr>
          <w:p w:rsidR="00B01D0F" w:rsidRPr="00D176B4" w:rsidRDefault="00B01D0F"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explain the security procedures for handling cheques, vouchers and cash</w:t>
            </w:r>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01D0F" w:rsidRPr="00D176B4" w:rsidTr="00A34436">
        <w:trPr>
          <w:trHeight w:val="778"/>
        </w:trPr>
        <w:tc>
          <w:tcPr>
            <w:cnfStyle w:val="001000000000" w:firstRow="0" w:lastRow="0" w:firstColumn="1" w:lastColumn="0" w:oddVBand="0" w:evenVBand="0" w:oddHBand="0" w:evenHBand="0" w:firstRowFirstColumn="0" w:firstRowLastColumn="0" w:lastRowFirstColumn="0" w:lastRowLastColumn="0"/>
            <w:tcW w:w="4886" w:type="dxa"/>
            <w:vAlign w:val="center"/>
          </w:tcPr>
          <w:p w:rsidR="00B01D0F" w:rsidRPr="00D176B4" w:rsidRDefault="00B01D0F" w:rsidP="00D176B4">
            <w:pPr>
              <w:pStyle w:val="ListParagraph"/>
              <w:numPr>
                <w:ilvl w:val="0"/>
                <w:numId w:val="3"/>
              </w:numPr>
              <w:spacing w:after="0"/>
              <w:jc w:val="both"/>
              <w:rPr>
                <w:rFonts w:asciiTheme="minorHAnsi" w:hAnsiTheme="minorHAnsi"/>
                <w:b w:val="0"/>
                <w:color w:val="000000"/>
              </w:rPr>
            </w:pPr>
            <w:r w:rsidRPr="00D176B4">
              <w:rPr>
                <w:rFonts w:asciiTheme="minorHAnsi" w:hAnsiTheme="minorHAnsi"/>
                <w:b w:val="0"/>
                <w:color w:val="000000"/>
              </w:rPr>
              <w:t>describe the key features of a range of reports.</w:t>
            </w:r>
          </w:p>
        </w:tc>
        <w:tc>
          <w:tcPr>
            <w:tcW w:w="1574"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3116" w:type="dxa"/>
          </w:tcPr>
          <w:p w:rsidR="00B01D0F" w:rsidRPr="00D176B4" w:rsidRDefault="00B01D0F"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9016E" w:rsidRPr="00D176B4" w:rsidTr="00BB4034">
        <w:trPr>
          <w:trHeight w:val="1018"/>
        </w:trPr>
        <w:tc>
          <w:tcPr>
            <w:cnfStyle w:val="001000000000" w:firstRow="0" w:lastRow="0" w:firstColumn="1" w:lastColumn="0" w:oddVBand="0" w:evenVBand="0" w:oddHBand="0" w:evenHBand="0" w:firstRowFirstColumn="0" w:firstRowLastColumn="0" w:lastRowFirstColumn="0" w:lastRowLastColumn="0"/>
            <w:tcW w:w="9576" w:type="dxa"/>
            <w:gridSpan w:val="3"/>
          </w:tcPr>
          <w:p w:rsidR="00B9016E" w:rsidRPr="00D176B4" w:rsidRDefault="00B9016E" w:rsidP="00D176B4">
            <w:pPr>
              <w:jc w:val="both"/>
              <w:rPr>
                <w:rFonts w:asciiTheme="minorHAnsi" w:hAnsiTheme="minorHAnsi"/>
                <w:sz w:val="24"/>
                <w:szCs w:val="24"/>
              </w:rPr>
            </w:pPr>
            <w:r w:rsidRPr="00D176B4">
              <w:rPr>
                <w:rFonts w:asciiTheme="minorHAnsi" w:hAnsiTheme="minorHAnsi"/>
                <w:sz w:val="24"/>
                <w:szCs w:val="24"/>
              </w:rPr>
              <w:t>Comments:</w:t>
            </w:r>
          </w:p>
        </w:tc>
      </w:tr>
      <w:tr w:rsidR="00B9016E" w:rsidRPr="00D176B4" w:rsidTr="00BB4034">
        <w:tc>
          <w:tcPr>
            <w:cnfStyle w:val="001000000000" w:firstRow="0" w:lastRow="0" w:firstColumn="1" w:lastColumn="0" w:oddVBand="0" w:evenVBand="0" w:oddHBand="0" w:evenHBand="0" w:firstRowFirstColumn="0" w:firstRowLastColumn="0" w:lastRowFirstColumn="0" w:lastRowLastColumn="0"/>
            <w:tcW w:w="4886" w:type="dxa"/>
          </w:tcPr>
          <w:p w:rsidR="00B9016E" w:rsidRPr="00D176B4" w:rsidRDefault="00B9016E" w:rsidP="00D176B4">
            <w:pPr>
              <w:jc w:val="both"/>
              <w:rPr>
                <w:rFonts w:asciiTheme="minorHAnsi" w:hAnsiTheme="minorHAnsi"/>
                <w:sz w:val="24"/>
                <w:szCs w:val="24"/>
              </w:rPr>
            </w:pPr>
            <w:r w:rsidRPr="00D176B4">
              <w:rPr>
                <w:rFonts w:asciiTheme="minorHAnsi" w:hAnsiTheme="minorHAnsi"/>
                <w:sz w:val="24"/>
                <w:szCs w:val="24"/>
              </w:rPr>
              <w:t>Signed by Learner:</w:t>
            </w:r>
          </w:p>
          <w:p w:rsidR="00B9016E" w:rsidRPr="00D176B4" w:rsidRDefault="00B9016E" w:rsidP="00D176B4">
            <w:pPr>
              <w:jc w:val="both"/>
              <w:rPr>
                <w:rFonts w:asciiTheme="minorHAnsi" w:hAnsiTheme="minorHAnsi"/>
                <w:sz w:val="24"/>
                <w:szCs w:val="24"/>
              </w:rPr>
            </w:pPr>
            <w:r w:rsidRPr="00D176B4">
              <w:rPr>
                <w:rFonts w:asciiTheme="minorHAnsi" w:hAnsiTheme="minorHAnsi"/>
                <w:sz w:val="24"/>
                <w:szCs w:val="24"/>
              </w:rPr>
              <w:t>Date:</w:t>
            </w:r>
          </w:p>
        </w:tc>
        <w:tc>
          <w:tcPr>
            <w:tcW w:w="4690" w:type="dxa"/>
            <w:gridSpan w:val="2"/>
          </w:tcPr>
          <w:p w:rsidR="00B9016E" w:rsidRPr="00D176B4" w:rsidRDefault="00B9016E"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D176B4">
              <w:rPr>
                <w:rFonts w:asciiTheme="minorHAnsi" w:hAnsiTheme="minorHAnsi"/>
                <w:b/>
                <w:sz w:val="24"/>
                <w:szCs w:val="24"/>
              </w:rPr>
              <w:t>Signed by Assessor:</w:t>
            </w:r>
          </w:p>
          <w:p w:rsidR="00B9016E" w:rsidRPr="00D176B4" w:rsidRDefault="00B9016E" w:rsidP="00D176B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D176B4">
              <w:rPr>
                <w:rFonts w:asciiTheme="minorHAnsi" w:hAnsiTheme="minorHAnsi"/>
                <w:b/>
                <w:sz w:val="24"/>
                <w:szCs w:val="24"/>
              </w:rPr>
              <w:t>Date:</w:t>
            </w:r>
          </w:p>
        </w:tc>
      </w:tr>
    </w:tbl>
    <w:p w:rsidR="00B9016E" w:rsidRPr="00D176B4" w:rsidRDefault="00B9016E" w:rsidP="00D176B4">
      <w:pPr>
        <w:jc w:val="both"/>
        <w:rPr>
          <w:sz w:val="24"/>
          <w:szCs w:val="24"/>
        </w:rPr>
      </w:pPr>
    </w:p>
    <w:p w:rsidR="00B9016E" w:rsidRPr="00D176B4" w:rsidRDefault="00B9016E" w:rsidP="00D176B4">
      <w:pPr>
        <w:jc w:val="both"/>
        <w:rPr>
          <w:sz w:val="24"/>
          <w:szCs w:val="24"/>
        </w:rPr>
      </w:pPr>
    </w:p>
    <w:p w:rsidR="00B9016E" w:rsidRPr="00D176B4" w:rsidRDefault="00B9016E" w:rsidP="00D176B4">
      <w:pPr>
        <w:autoSpaceDE w:val="0"/>
        <w:autoSpaceDN w:val="0"/>
        <w:adjustRightInd w:val="0"/>
        <w:spacing w:before="240" w:after="0" w:line="240" w:lineRule="auto"/>
        <w:jc w:val="both"/>
        <w:rPr>
          <w:rFonts w:cs="Thorndale for VST"/>
          <w:sz w:val="24"/>
          <w:szCs w:val="24"/>
        </w:rPr>
      </w:pPr>
    </w:p>
    <w:sectPr w:rsidR="00B9016E" w:rsidRPr="00D176B4" w:rsidSect="00175A08">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634" w:rsidRDefault="001D0634" w:rsidP="00C63EB2">
      <w:pPr>
        <w:spacing w:after="0" w:line="240" w:lineRule="auto"/>
      </w:pPr>
      <w:r>
        <w:separator/>
      </w:r>
    </w:p>
  </w:endnote>
  <w:endnote w:type="continuationSeparator" w:id="0">
    <w:p w:rsidR="001D0634" w:rsidRDefault="001D0634" w:rsidP="00C6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horndale for VST">
    <w:altName w:val="Times New Roman"/>
    <w:charset w:val="00"/>
    <w:family w:val="roman"/>
    <w:pitch w:val="variable"/>
    <w:sig w:usb0="00000001" w:usb1="000004E8"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780201"/>
      <w:docPartObj>
        <w:docPartGallery w:val="Page Numbers (Bottom of Page)"/>
        <w:docPartUnique/>
      </w:docPartObj>
    </w:sdtPr>
    <w:sdtEndPr>
      <w:rPr>
        <w:noProof/>
      </w:rPr>
    </w:sdtEndPr>
    <w:sdtContent>
      <w:p w:rsidR="00C63EB2" w:rsidRDefault="00C63EB2">
        <w:pPr>
          <w:pStyle w:val="Footer"/>
          <w:jc w:val="right"/>
        </w:pPr>
        <w:r>
          <w:fldChar w:fldCharType="begin"/>
        </w:r>
        <w:r>
          <w:instrText xml:space="preserve"> PAGE   \* MERGEFORMAT </w:instrText>
        </w:r>
        <w:r>
          <w:fldChar w:fldCharType="separate"/>
        </w:r>
        <w:r w:rsidR="008442E9">
          <w:rPr>
            <w:noProof/>
          </w:rPr>
          <w:t>1</w:t>
        </w:r>
        <w:r>
          <w:rPr>
            <w:noProof/>
          </w:rPr>
          <w:fldChar w:fldCharType="end"/>
        </w:r>
      </w:p>
    </w:sdtContent>
  </w:sdt>
  <w:p w:rsidR="00C63EB2" w:rsidRDefault="00C63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634" w:rsidRDefault="001D0634" w:rsidP="00C63EB2">
      <w:pPr>
        <w:spacing w:after="0" w:line="240" w:lineRule="auto"/>
      </w:pPr>
      <w:r>
        <w:separator/>
      </w:r>
    </w:p>
  </w:footnote>
  <w:footnote w:type="continuationSeparator" w:id="0">
    <w:p w:rsidR="001D0634" w:rsidRDefault="001D0634" w:rsidP="00C63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C31F9"/>
    <w:multiLevelType w:val="hybridMultilevel"/>
    <w:tmpl w:val="C8341DA0"/>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1" w15:restartNumberingAfterBreak="0">
    <w:nsid w:val="64072EA0"/>
    <w:multiLevelType w:val="hybridMultilevel"/>
    <w:tmpl w:val="EEB06E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F2A7EEB"/>
    <w:multiLevelType w:val="hybridMultilevel"/>
    <w:tmpl w:val="A2589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4D"/>
    <w:rsid w:val="00042213"/>
    <w:rsid w:val="001D0634"/>
    <w:rsid w:val="002601C0"/>
    <w:rsid w:val="005F0AEA"/>
    <w:rsid w:val="008442E9"/>
    <w:rsid w:val="008E1568"/>
    <w:rsid w:val="00A66F23"/>
    <w:rsid w:val="00AA4A37"/>
    <w:rsid w:val="00B01D0F"/>
    <w:rsid w:val="00B9016E"/>
    <w:rsid w:val="00BB4034"/>
    <w:rsid w:val="00C63EB2"/>
    <w:rsid w:val="00D176B4"/>
    <w:rsid w:val="00ED654D"/>
    <w:rsid w:val="00FD01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F133"/>
  <w15:docId w15:val="{B8FF6D85-D8AD-4C84-8E9E-CC126060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E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3EB2"/>
  </w:style>
  <w:style w:type="paragraph" w:styleId="Footer">
    <w:name w:val="footer"/>
    <w:basedOn w:val="Normal"/>
    <w:link w:val="FooterChar"/>
    <w:uiPriority w:val="99"/>
    <w:unhideWhenUsed/>
    <w:rsid w:val="00C63E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3EB2"/>
  </w:style>
  <w:style w:type="paragraph" w:styleId="ListParagraph">
    <w:name w:val="List Paragraph"/>
    <w:basedOn w:val="Normal"/>
    <w:link w:val="ListParagraphChar"/>
    <w:uiPriority w:val="1"/>
    <w:qFormat/>
    <w:rsid w:val="00B9016E"/>
    <w:pPr>
      <w:spacing w:before="120" w:after="120" w:line="240" w:lineRule="auto"/>
      <w:ind w:left="720"/>
      <w:contextualSpacing/>
    </w:pPr>
    <w:rPr>
      <w:rFonts w:cs="Times New Roman"/>
      <w:sz w:val="24"/>
      <w:szCs w:val="24"/>
      <w:lang w:eastAsia="zh-CN"/>
    </w:rPr>
  </w:style>
  <w:style w:type="character" w:customStyle="1" w:styleId="ListParagraphChar">
    <w:name w:val="List Paragraph Char"/>
    <w:basedOn w:val="DefaultParagraphFont"/>
    <w:link w:val="ListParagraph"/>
    <w:uiPriority w:val="1"/>
    <w:rsid w:val="00B9016E"/>
    <w:rPr>
      <w:rFonts w:cs="Times New Roman"/>
      <w:sz w:val="24"/>
      <w:szCs w:val="24"/>
      <w:lang w:eastAsia="zh-CN"/>
    </w:rPr>
  </w:style>
  <w:style w:type="table" w:customStyle="1" w:styleId="GridTable1Light-Accent11">
    <w:name w:val="Grid Table 1 Light - Accent 11"/>
    <w:basedOn w:val="TableNormal"/>
    <w:uiPriority w:val="46"/>
    <w:rsid w:val="00B9016E"/>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436414">
      <w:bodyDiv w:val="1"/>
      <w:marLeft w:val="0"/>
      <w:marRight w:val="0"/>
      <w:marTop w:val="0"/>
      <w:marBottom w:val="0"/>
      <w:divBdr>
        <w:top w:val="none" w:sz="0" w:space="0" w:color="auto"/>
        <w:left w:val="none" w:sz="0" w:space="0" w:color="auto"/>
        <w:bottom w:val="none" w:sz="0" w:space="0" w:color="auto"/>
        <w:right w:val="none" w:sz="0" w:space="0" w:color="auto"/>
      </w:divBdr>
    </w:div>
    <w:div w:id="1558055347">
      <w:bodyDiv w:val="1"/>
      <w:marLeft w:val="0"/>
      <w:marRight w:val="0"/>
      <w:marTop w:val="0"/>
      <w:marBottom w:val="0"/>
      <w:divBdr>
        <w:top w:val="none" w:sz="0" w:space="0" w:color="auto"/>
        <w:left w:val="none" w:sz="0" w:space="0" w:color="auto"/>
        <w:bottom w:val="none" w:sz="0" w:space="0" w:color="auto"/>
        <w:right w:val="none" w:sz="0" w:space="0" w:color="auto"/>
      </w:divBdr>
    </w:div>
    <w:div w:id="201518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 Paul Howe</cp:lastModifiedBy>
  <cp:revision>9</cp:revision>
  <dcterms:created xsi:type="dcterms:W3CDTF">2016-05-25T10:10:00Z</dcterms:created>
  <dcterms:modified xsi:type="dcterms:W3CDTF">2016-05-27T19:54:00Z</dcterms:modified>
</cp:coreProperties>
</file>