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32" w:rsidRPr="007F4532" w:rsidRDefault="007F4532" w:rsidP="00834851">
      <w:pPr>
        <w:spacing w:before="100" w:beforeAutospacing="1" w:after="100" w:afterAutospacing="1" w:line="240" w:lineRule="auto"/>
        <w:rPr>
          <w:rFonts w:eastAsia="Times New Roman" w:cs="Times New Roman"/>
          <w:b/>
          <w:color w:val="1F497D" w:themeColor="text2"/>
          <w:sz w:val="36"/>
          <w:szCs w:val="24"/>
        </w:rPr>
      </w:pPr>
      <w:r w:rsidRPr="007F4532">
        <w:rPr>
          <w:rFonts w:eastAsia="Times New Roman" w:cs="Times New Roman"/>
          <w:b/>
          <w:color w:val="1F497D" w:themeColor="text2"/>
          <w:sz w:val="36"/>
          <w:szCs w:val="24"/>
        </w:rPr>
        <w:t>Assessment 3</w:t>
      </w:r>
    </w:p>
    <w:p w:rsidR="00834851" w:rsidRPr="00453449" w:rsidRDefault="00834851" w:rsidP="00834851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</w:rPr>
      </w:pPr>
      <w:r w:rsidRPr="00453449">
        <w:rPr>
          <w:rFonts w:eastAsia="Times New Roman" w:cs="Times New Roman"/>
          <w:b/>
          <w:sz w:val="24"/>
          <w:szCs w:val="24"/>
        </w:rPr>
        <w:t>Case Study – Prepare Compr</w:t>
      </w:r>
      <w:bookmarkStart w:id="0" w:name="_GoBack"/>
      <w:bookmarkEnd w:id="0"/>
      <w:r w:rsidRPr="00453449">
        <w:rPr>
          <w:rFonts w:eastAsia="Times New Roman" w:cs="Times New Roman"/>
          <w:b/>
          <w:sz w:val="24"/>
          <w:szCs w:val="24"/>
        </w:rPr>
        <w:t>ehensive Income Statement and Statement of Changes in Equity</w:t>
      </w:r>
    </w:p>
    <w:p w:rsidR="00834851" w:rsidRPr="00453449" w:rsidRDefault="00834851" w:rsidP="0083485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834851" w:rsidRPr="00453449" w:rsidRDefault="00834851" w:rsidP="0083485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3449">
        <w:rPr>
          <w:rFonts w:eastAsia="Times New Roman" w:cs="Times New Roman"/>
          <w:sz w:val="24"/>
          <w:szCs w:val="24"/>
        </w:rPr>
        <w:t xml:space="preserve">Fergie Ltd incurs the following expenses and income for the year ended 30 June 2015. </w:t>
      </w:r>
    </w:p>
    <w:p w:rsidR="00834851" w:rsidRPr="00453449" w:rsidRDefault="00834851" w:rsidP="0083485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453449">
        <w:rPr>
          <w:rFonts w:eastAsia="Times New Roman" w:cs="Times New Roman"/>
          <w:noProof/>
          <w:sz w:val="24"/>
          <w:szCs w:val="24"/>
        </w:rPr>
        <w:drawing>
          <wp:inline distT="0" distB="0" distL="0" distR="0">
            <wp:extent cx="4518660" cy="2615565"/>
            <wp:effectExtent l="0" t="0" r="0" b="0"/>
            <wp:docPr id="1" name="Picture 1" descr="http://textflow.mheducation.com/figures/1743071663/pg59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1743071663_001_042247c" descr="http://textflow.mheducation.com/figures/1743071663/pg59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51" w:rsidRPr="00453449" w:rsidRDefault="00834851" w:rsidP="0083485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3449">
        <w:rPr>
          <w:rFonts w:eastAsia="Times New Roman" w:cs="Times New Roman"/>
          <w:sz w:val="24"/>
          <w:szCs w:val="24"/>
        </w:rPr>
        <w:t>The income tax expense of $150 000 is calculated after considering a tax deduction of $21 450, which related to the damage caused by the space junk. Tax rate is 33 per cent.</w:t>
      </w:r>
    </w:p>
    <w:p w:rsidR="00834851" w:rsidRPr="00453449" w:rsidRDefault="00834851" w:rsidP="0045344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53449">
        <w:rPr>
          <w:rFonts w:eastAsia="Times New Roman" w:cs="Times New Roman"/>
          <w:sz w:val="24"/>
          <w:szCs w:val="24"/>
        </w:rPr>
        <w:t>During the year there has also been an increase in the revaluation surplus of $80 000 as a result of a revaluation of land of $80 000. The balance of the revaluation surplus at 1 July 2014 was $nil. A new accounting standard has also been introduced, which has a transitional provision allowing initial write-offs to be recognised as a decrease against retained earnings. The decrease against retained earnings amounts to $50 000. Retained earnings at the beginning of the financial year were $1 950 000, and dividends of $200 000 were paid during the financial year. Issued share capital at 1 July 2014 and 30 June 2015 was $510 000.</w:t>
      </w:r>
    </w:p>
    <w:p w:rsidR="00834851" w:rsidRPr="00453449" w:rsidRDefault="00834851" w:rsidP="0083485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453449">
        <w:rPr>
          <w:rFonts w:eastAsia="Times New Roman" w:cs="Times New Roman"/>
          <w:b/>
          <w:sz w:val="24"/>
          <w:szCs w:val="24"/>
        </w:rPr>
        <w:t xml:space="preserve">REQUIRED </w:t>
      </w:r>
    </w:p>
    <w:p w:rsidR="00834851" w:rsidRPr="00453449" w:rsidRDefault="00834851" w:rsidP="0083485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53449">
        <w:rPr>
          <w:rFonts w:eastAsia="Times New Roman" w:cs="Times New Roman"/>
          <w:sz w:val="24"/>
          <w:szCs w:val="24"/>
        </w:rPr>
        <w:t>Prepare a</w:t>
      </w:r>
      <w:r w:rsidR="002965B4" w:rsidRPr="00453449">
        <w:rPr>
          <w:rFonts w:eastAsia="Times New Roman" w:cs="Times New Roman"/>
          <w:sz w:val="24"/>
          <w:szCs w:val="24"/>
        </w:rPr>
        <w:t>n income</w:t>
      </w:r>
      <w:r w:rsidRPr="00453449">
        <w:rPr>
          <w:rFonts w:eastAsia="Times New Roman" w:cs="Times New Roman"/>
          <w:sz w:val="24"/>
          <w:szCs w:val="24"/>
        </w:rPr>
        <w:t xml:space="preserve"> statement (in a single statement with expenses shown by function) and a statement of changes in equity in conformity with AASB 101. Provide only those notes that can be reasonably determined from the above information</w:t>
      </w:r>
    </w:p>
    <w:p w:rsidR="00453449" w:rsidRPr="00453449" w:rsidRDefault="00453449" w:rsidP="0083485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GridTable1Light-Accent11"/>
        <w:tblW w:w="5000" w:type="pct"/>
        <w:tblLook w:val="04A0" w:firstRow="1" w:lastRow="0" w:firstColumn="1" w:lastColumn="0" w:noHBand="0" w:noVBand="1"/>
      </w:tblPr>
      <w:tblGrid>
        <w:gridCol w:w="4731"/>
        <w:gridCol w:w="1523"/>
        <w:gridCol w:w="2988"/>
      </w:tblGrid>
      <w:tr w:rsidR="00453449" w:rsidRPr="00453449" w:rsidTr="00A34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:rsidR="00453449" w:rsidRPr="00453449" w:rsidRDefault="00453449" w:rsidP="00A34436">
            <w:pPr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453449">
              <w:rPr>
                <w:rFonts w:asciiTheme="minorHAnsi" w:eastAsia="Calibri" w:hAnsiTheme="minorHAnsi" w:cs="Calibri"/>
                <w:sz w:val="24"/>
                <w:szCs w:val="24"/>
              </w:rPr>
              <w:t>Assessment Mapping Checklist</w:t>
            </w:r>
          </w:p>
          <w:p w:rsidR="00453449" w:rsidRPr="00453449" w:rsidRDefault="00453449" w:rsidP="00A34436">
            <w:pPr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453449">
              <w:rPr>
                <w:rFonts w:asciiTheme="minorHAnsi" w:eastAsia="Calibri" w:hAnsiTheme="minorHAnsi" w:cs="Calibri"/>
                <w:sz w:val="24"/>
                <w:szCs w:val="24"/>
              </w:rPr>
              <w:t>Learner</w:t>
            </w:r>
            <w:r w:rsidRPr="0045344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 xml:space="preserve"> </w:t>
            </w:r>
            <w:r w:rsidRPr="00453449">
              <w:rPr>
                <w:rFonts w:asciiTheme="minorHAnsi" w:eastAsia="Calibri" w:hAnsiTheme="minorHAnsi" w:cs="Calibri"/>
                <w:sz w:val="24"/>
                <w:szCs w:val="24"/>
              </w:rPr>
              <w:t>N</w:t>
            </w:r>
            <w:r w:rsidRPr="00453449">
              <w:rPr>
                <w:rFonts w:asciiTheme="minorHAnsi" w:eastAsia="Calibri" w:hAnsiTheme="minorHAnsi" w:cs="Calibri"/>
                <w:spacing w:val="-1"/>
                <w:sz w:val="24"/>
                <w:szCs w:val="24"/>
              </w:rPr>
              <w:t>a</w:t>
            </w:r>
            <w:r w:rsidRPr="00453449">
              <w:rPr>
                <w:rFonts w:asciiTheme="minorHAnsi" w:eastAsia="Calibri" w:hAnsiTheme="minorHAnsi" w:cs="Calibri"/>
                <w:spacing w:val="-2"/>
                <w:sz w:val="24"/>
                <w:szCs w:val="24"/>
              </w:rPr>
              <w:t>m</w:t>
            </w:r>
            <w:r w:rsidRPr="00453449">
              <w:rPr>
                <w:rFonts w:asciiTheme="minorHAnsi" w:eastAsia="Calibri" w:hAnsiTheme="minorHAnsi" w:cs="Calibri"/>
                <w:sz w:val="24"/>
                <w:szCs w:val="24"/>
              </w:rPr>
              <w:t>e</w:t>
            </w:r>
            <w:r w:rsidRPr="00453449">
              <w:rPr>
                <w:rFonts w:asciiTheme="minorHAnsi" w:eastAsia="Calibri" w:hAnsiTheme="minorHAnsi" w:cs="Calibri"/>
                <w:spacing w:val="1"/>
                <w:sz w:val="24"/>
                <w:szCs w:val="24"/>
              </w:rPr>
              <w:t>/</w:t>
            </w:r>
            <w:r w:rsidRPr="00453449">
              <w:rPr>
                <w:rFonts w:asciiTheme="minorHAnsi" w:eastAsia="Calibri" w:hAnsiTheme="minorHAnsi" w:cs="Calibri"/>
                <w:spacing w:val="-3"/>
                <w:sz w:val="24"/>
                <w:szCs w:val="24"/>
              </w:rPr>
              <w:t>I</w:t>
            </w:r>
            <w:r w:rsidRPr="00453449">
              <w:rPr>
                <w:rFonts w:asciiTheme="minorHAnsi" w:eastAsia="Calibri" w:hAnsiTheme="minorHAnsi" w:cs="Calibri"/>
                <w:sz w:val="24"/>
                <w:szCs w:val="24"/>
              </w:rPr>
              <w:t>D: ___________________________________</w:t>
            </w: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:rsidR="00453449" w:rsidRPr="00453449" w:rsidRDefault="00453449" w:rsidP="00A3443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53449">
              <w:rPr>
                <w:rFonts w:asciiTheme="minorHAnsi" w:hAnsiTheme="minorHAnsi"/>
                <w:sz w:val="24"/>
                <w:szCs w:val="24"/>
              </w:rPr>
              <w:t>Performance &amp; Knowledge Evidence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3449">
              <w:rPr>
                <w:rFonts w:asciiTheme="minorHAnsi" w:eastAsia="Calibri" w:hAnsiTheme="minorHAnsi" w:cs="Calibri"/>
                <w:b/>
                <w:sz w:val="24"/>
                <w:szCs w:val="24"/>
              </w:rPr>
              <w:t>C/NYC</w:t>
            </w: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3449">
              <w:rPr>
                <w:rFonts w:asciiTheme="minorHAnsi" w:hAnsiTheme="minorHAnsi"/>
                <w:b/>
                <w:sz w:val="24"/>
                <w:szCs w:val="24"/>
              </w:rPr>
              <w:t>Comments</w:t>
            </w: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:rsidR="00453449" w:rsidRPr="00453449" w:rsidRDefault="00453449" w:rsidP="00A3443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53449">
              <w:rPr>
                <w:rFonts w:asciiTheme="minorHAnsi" w:hAnsiTheme="minorHAnsi"/>
                <w:sz w:val="24"/>
                <w:szCs w:val="24"/>
              </w:rPr>
              <w:lastRenderedPageBreak/>
              <w:t>Performance Evidence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53449" w:rsidRPr="00453449" w:rsidTr="00A344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produce a detailed asset register and depreciation schedule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53449" w:rsidRPr="00453449" w:rsidTr="00A344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accurately record entries for balance day adjustments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53449" w:rsidRPr="00453449" w:rsidTr="00A344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prepare financial reports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53449" w:rsidRPr="00453449" w:rsidTr="00A344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trace and reconcile errors systematically or seek expert advice if required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53449" w:rsidRPr="00453449" w:rsidTr="00A344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apply double-entry principles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53449" w:rsidRPr="00453449" w:rsidTr="00A3443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complete all tasks according to organisational p</w:t>
            </w:r>
            <w:r w:rsidRPr="00453449">
              <w:rPr>
                <w:rFonts w:asciiTheme="minorHAnsi" w:hAnsiTheme="minorHAnsi"/>
                <w:b w:val="0"/>
                <w:color w:val="000000"/>
              </w:rPr>
              <w:t>olicies and industry standards</w:t>
            </w:r>
          </w:p>
          <w:p w:rsidR="00453449" w:rsidRPr="00453449" w:rsidRDefault="00453449" w:rsidP="00A34436">
            <w:pPr>
              <w:pStyle w:val="ListParagraph"/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</w:p>
        </w:tc>
        <w:tc>
          <w:tcPr>
            <w:tcW w:w="1574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:rsidR="00453449" w:rsidRPr="00453449" w:rsidRDefault="00453449" w:rsidP="00A3443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53449">
              <w:rPr>
                <w:rFonts w:asciiTheme="minorHAnsi" w:hAnsiTheme="minorHAnsi"/>
                <w:sz w:val="24"/>
                <w:szCs w:val="24"/>
              </w:rPr>
              <w:t>Knowledge Evidence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explain double</w:t>
            </w: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noBreakHyphen/>
              <w:t>entry bookkeeping principles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bookmarkStart w:id="1" w:name="RANGE!A15"/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identify general journal and general ledger entries</w:t>
            </w:r>
            <w:bookmarkEnd w:id="1"/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list the key provisions of relevant legislation, regulations, standards and codes of practice that may preparation of financial reports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describe organisational accounting systems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outline relevant organisational policies, procedures and accounting standards.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outline typical errors that can be made in processing financial transactions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describe forms of ‘proof of lodgement’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describe types of ‘special transactions’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A34436">
            <w:pPr>
              <w:jc w:val="both"/>
              <w:rPr>
                <w:rFonts w:asciiTheme="minorHAnsi" w:hAnsiTheme="minorHAnsi"/>
                <w:color w:val="000000"/>
              </w:rPr>
            </w:pPr>
            <w:r w:rsidRPr="00453449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Identify and describe the key features of:</w:t>
            </w:r>
          </w:p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industry codes of practice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legislative and regulatory requirements relevant to the work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organisational policy and procedures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lastRenderedPageBreak/>
              <w:t>explain the security procedures for handling cheques, vouchers and cash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rPr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Align w:val="center"/>
          </w:tcPr>
          <w:p w:rsidR="00453449" w:rsidRPr="00453449" w:rsidRDefault="00453449" w:rsidP="0045344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/>
                <w:b w:val="0"/>
                <w:color w:val="000000"/>
              </w:rPr>
            </w:pPr>
            <w:r w:rsidRPr="00453449">
              <w:rPr>
                <w:rFonts w:asciiTheme="minorHAnsi" w:eastAsiaTheme="minorEastAsia" w:hAnsiTheme="minorHAnsi"/>
                <w:b w:val="0"/>
                <w:color w:val="000000"/>
              </w:rPr>
              <w:t>describe the key features of a range of reports.</w:t>
            </w:r>
          </w:p>
        </w:tc>
        <w:tc>
          <w:tcPr>
            <w:tcW w:w="1574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6" w:type="dxa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3449" w:rsidRPr="00453449" w:rsidTr="00A34436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:rsidR="00453449" w:rsidRPr="00453449" w:rsidRDefault="00453449" w:rsidP="00A3443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53449">
              <w:rPr>
                <w:rFonts w:asciiTheme="minorHAnsi" w:hAnsiTheme="minorHAnsi"/>
                <w:sz w:val="24"/>
                <w:szCs w:val="24"/>
              </w:rPr>
              <w:t>Comments:</w:t>
            </w:r>
          </w:p>
        </w:tc>
      </w:tr>
      <w:tr w:rsidR="00453449" w:rsidRPr="00453449" w:rsidTr="00A344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:rsidR="00453449" w:rsidRPr="00453449" w:rsidRDefault="00453449" w:rsidP="00A3443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53449">
              <w:rPr>
                <w:rFonts w:asciiTheme="minorHAnsi" w:hAnsiTheme="minorHAnsi"/>
                <w:sz w:val="24"/>
                <w:szCs w:val="24"/>
              </w:rPr>
              <w:t>Signed by Learner:</w:t>
            </w:r>
          </w:p>
          <w:p w:rsidR="00453449" w:rsidRPr="00453449" w:rsidRDefault="00453449" w:rsidP="00A3443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53449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4690" w:type="dxa"/>
            <w:gridSpan w:val="2"/>
          </w:tcPr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453449">
              <w:rPr>
                <w:rFonts w:asciiTheme="minorHAnsi" w:hAnsiTheme="minorHAnsi"/>
                <w:b/>
                <w:sz w:val="24"/>
                <w:szCs w:val="24"/>
              </w:rPr>
              <w:t>Signed by Assessor:</w:t>
            </w:r>
          </w:p>
          <w:p w:rsidR="00453449" w:rsidRPr="00453449" w:rsidRDefault="00453449" w:rsidP="00A34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453449">
              <w:rPr>
                <w:rFonts w:asciiTheme="minorHAnsi" w:hAnsiTheme="minorHAnsi"/>
                <w:b/>
                <w:sz w:val="24"/>
                <w:szCs w:val="24"/>
              </w:rPr>
              <w:t>Date:</w:t>
            </w:r>
          </w:p>
        </w:tc>
      </w:tr>
    </w:tbl>
    <w:p w:rsidR="00453449" w:rsidRPr="00453449" w:rsidRDefault="00453449" w:rsidP="0083485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9F5136" w:rsidRPr="00453449" w:rsidRDefault="009F5136"/>
    <w:p w:rsidR="00834851" w:rsidRPr="00453449" w:rsidRDefault="00834851"/>
    <w:sectPr w:rsidR="00834851" w:rsidRPr="00453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A7EEB"/>
    <w:multiLevelType w:val="hybridMultilevel"/>
    <w:tmpl w:val="A2589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51"/>
    <w:rsid w:val="002965B4"/>
    <w:rsid w:val="00453449"/>
    <w:rsid w:val="00471FC0"/>
    <w:rsid w:val="007F4532"/>
    <w:rsid w:val="00834851"/>
    <w:rsid w:val="009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F977"/>
  <w15:docId w15:val="{D46356FE-BFFF-47C3-8CF7-147252EA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9"/>
    <w:qFormat/>
    <w:rsid w:val="00834851"/>
    <w:pPr>
      <w:keepNext/>
      <w:spacing w:before="240"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tle">
    <w:name w:val="sectitle"/>
    <w:basedOn w:val="DefaultParagraphFont"/>
    <w:rsid w:val="00834851"/>
  </w:style>
  <w:style w:type="paragraph" w:styleId="BalloonText">
    <w:name w:val="Balloon Text"/>
    <w:basedOn w:val="Normal"/>
    <w:link w:val="BalloonTextChar"/>
    <w:uiPriority w:val="99"/>
    <w:semiHidden/>
    <w:unhideWhenUsed/>
    <w:rsid w:val="0083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51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rsid w:val="00834851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34851"/>
    <w:pPr>
      <w:tabs>
        <w:tab w:val="left" w:pos="720"/>
        <w:tab w:val="left" w:pos="144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34851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834851"/>
    <w:pPr>
      <w:spacing w:before="240" w:after="12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453449"/>
    <w:pPr>
      <w:spacing w:before="120" w:after="120" w:line="240" w:lineRule="auto"/>
      <w:ind w:left="720"/>
      <w:contextualSpacing/>
    </w:pPr>
    <w:rPr>
      <w:rFonts w:eastAsiaTheme="minorHAnsi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453449"/>
    <w:rPr>
      <w:rFonts w:eastAsiaTheme="minorHAnsi" w:cs="Times New Roman"/>
      <w:sz w:val="24"/>
      <w:szCs w:val="24"/>
    </w:rPr>
  </w:style>
  <w:style w:type="table" w:customStyle="1" w:styleId="GridTable1Light-Accent11">
    <w:name w:val="Grid Table 1 Light - Accent 11"/>
    <w:basedOn w:val="TableNormal"/>
    <w:uiPriority w:val="46"/>
    <w:rsid w:val="00453449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Chun Jiang</dc:creator>
  <cp:lastModifiedBy>Dr Paul Howe</cp:lastModifiedBy>
  <cp:revision>5</cp:revision>
  <dcterms:created xsi:type="dcterms:W3CDTF">2016-05-22T03:12:00Z</dcterms:created>
  <dcterms:modified xsi:type="dcterms:W3CDTF">2016-05-27T19:58:00Z</dcterms:modified>
</cp:coreProperties>
</file>