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48E" w:rsidRPr="0000348E" w:rsidRDefault="0000348E" w:rsidP="0000348E">
      <w:pPr>
        <w:spacing w:after="120"/>
        <w:jc w:val="both"/>
        <w:rPr>
          <w:rFonts w:asciiTheme="minorHAnsi" w:hAnsiTheme="minorHAnsi"/>
          <w:b/>
          <w:color w:val="1F497D" w:themeColor="text2"/>
          <w:sz w:val="40"/>
          <w:szCs w:val="24"/>
        </w:rPr>
      </w:pPr>
      <w:r w:rsidRPr="0000348E">
        <w:rPr>
          <w:rFonts w:asciiTheme="minorHAnsi" w:hAnsiTheme="minorHAnsi"/>
          <w:b/>
          <w:color w:val="1F497D" w:themeColor="text2"/>
          <w:sz w:val="40"/>
          <w:szCs w:val="24"/>
        </w:rPr>
        <w:t>Assessment 1</w:t>
      </w:r>
    </w:p>
    <w:p w:rsidR="005244AC" w:rsidRPr="0000348E" w:rsidRDefault="005244AC" w:rsidP="0000348E">
      <w:pPr>
        <w:pStyle w:val="ListParagraph"/>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heme="minorHAnsi" w:hAnsiTheme="minorHAnsi"/>
          <w:szCs w:val="24"/>
        </w:rPr>
      </w:pPr>
      <w:r w:rsidRPr="0000348E">
        <w:rPr>
          <w:rFonts w:asciiTheme="minorHAnsi" w:hAnsiTheme="minorHAnsi"/>
          <w:szCs w:val="24"/>
        </w:rPr>
        <w:t>List the major components of a business plan. What components are of primarily concerned to you, and why?</w:t>
      </w:r>
    </w:p>
    <w:p w:rsidR="005244AC" w:rsidRPr="0000348E" w:rsidRDefault="005244AC" w:rsidP="0000348E">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heme="minorHAnsi" w:hAnsiTheme="minorHAnsi"/>
          <w:szCs w:val="24"/>
        </w:rPr>
      </w:pPr>
    </w:p>
    <w:p w:rsidR="005244AC" w:rsidRPr="0000348E" w:rsidRDefault="005244AC" w:rsidP="0000348E">
      <w:pPr>
        <w:pStyle w:val="ListParagraph"/>
        <w:numPr>
          <w:ilvl w:val="0"/>
          <w:numId w:val="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both"/>
        <w:rPr>
          <w:rFonts w:asciiTheme="minorHAnsi" w:hAnsiTheme="minorHAnsi"/>
          <w:szCs w:val="24"/>
        </w:rPr>
      </w:pPr>
      <w:r w:rsidRPr="0000348E">
        <w:rPr>
          <w:rFonts w:asciiTheme="minorHAnsi" w:hAnsiTheme="minorHAnsi"/>
          <w:szCs w:val="24"/>
        </w:rPr>
        <w:t>What is the significance of a business succession plan?</w:t>
      </w:r>
    </w:p>
    <w:p w:rsidR="005244AC" w:rsidRPr="0000348E" w:rsidRDefault="005244AC" w:rsidP="0000348E">
      <w:pPr>
        <w:pStyle w:val="ListParagraph"/>
        <w:jc w:val="both"/>
        <w:rPr>
          <w:rFonts w:asciiTheme="minorHAnsi" w:hAnsiTheme="minorHAnsi"/>
          <w:szCs w:val="24"/>
        </w:rPr>
      </w:pPr>
    </w:p>
    <w:p w:rsidR="005244AC" w:rsidRPr="0000348E" w:rsidRDefault="005244AC" w:rsidP="0000348E">
      <w:pPr>
        <w:numPr>
          <w:ilvl w:val="0"/>
          <w:numId w:val="1"/>
        </w:numPr>
        <w:tabs>
          <w:tab w:val="num" w:pos="-3960"/>
        </w:tabs>
        <w:spacing w:after="120"/>
        <w:jc w:val="both"/>
        <w:rPr>
          <w:rFonts w:asciiTheme="minorHAnsi" w:hAnsiTheme="minorHAnsi"/>
          <w:szCs w:val="24"/>
        </w:rPr>
      </w:pPr>
      <w:r w:rsidRPr="0000348E">
        <w:rPr>
          <w:rFonts w:asciiTheme="minorHAnsi" w:hAnsiTheme="minorHAnsi"/>
          <w:szCs w:val="24"/>
        </w:rPr>
        <w:t xml:space="preserve">What is the importance of liquidity?  </w:t>
      </w:r>
    </w:p>
    <w:p w:rsidR="005244AC" w:rsidRPr="0000348E" w:rsidRDefault="005244AC" w:rsidP="0000348E">
      <w:pPr>
        <w:pStyle w:val="ListParagraph"/>
        <w:jc w:val="both"/>
        <w:rPr>
          <w:rFonts w:asciiTheme="minorHAnsi" w:hAnsiTheme="minorHAnsi"/>
          <w:szCs w:val="24"/>
        </w:rPr>
      </w:pPr>
    </w:p>
    <w:p w:rsidR="007D2F67" w:rsidRPr="0000348E" w:rsidRDefault="007D2F67" w:rsidP="0000348E">
      <w:pPr>
        <w:numPr>
          <w:ilvl w:val="0"/>
          <w:numId w:val="1"/>
        </w:numPr>
        <w:tabs>
          <w:tab w:val="num" w:pos="-3960"/>
        </w:tabs>
        <w:spacing w:after="120"/>
        <w:jc w:val="both"/>
        <w:rPr>
          <w:rFonts w:asciiTheme="minorHAnsi" w:hAnsiTheme="minorHAnsi"/>
          <w:szCs w:val="24"/>
        </w:rPr>
      </w:pPr>
      <w:r w:rsidRPr="0000348E">
        <w:rPr>
          <w:rFonts w:asciiTheme="minorHAnsi" w:hAnsiTheme="minorHAnsi"/>
          <w:szCs w:val="24"/>
        </w:rPr>
        <w:t xml:space="preserve">Carry </w:t>
      </w:r>
      <w:proofErr w:type="spellStart"/>
      <w:r w:rsidRPr="0000348E">
        <w:rPr>
          <w:rFonts w:asciiTheme="minorHAnsi" w:hAnsiTheme="minorHAnsi"/>
          <w:szCs w:val="24"/>
        </w:rPr>
        <w:t>Yoki’s</w:t>
      </w:r>
      <w:proofErr w:type="spellEnd"/>
      <w:r w:rsidRPr="0000348E">
        <w:rPr>
          <w:rFonts w:asciiTheme="minorHAnsi" w:hAnsiTheme="minorHAnsi"/>
          <w:szCs w:val="24"/>
        </w:rPr>
        <w:t xml:space="preserve"> Lounge consists of the following.  Carry, the owner believed that people would come to hear a band play on Friday, Saturday, and Sunday evening. During the remainder of the week, she believed her customers would watch sporting events on several television sets located throughout the lounge.  Carry employed two bartenders, three servers, two assistant servers, two cooks, one dishwasher and a clean-up person.  She had a bar, 15 barstools, 4 tables, 40 chairs, 4 television sets, and one satellite dish.  She had an oven, stove, grill, refrigerator, sinks, dishes, and glassware.  Carry started this business with $50,000 of her own money, and she borrowed $150,000 from the bank.  From this description, list each of the scarce resources that are used in Carry </w:t>
      </w:r>
      <w:proofErr w:type="spellStart"/>
      <w:r w:rsidRPr="0000348E">
        <w:rPr>
          <w:rFonts w:asciiTheme="minorHAnsi" w:hAnsiTheme="minorHAnsi"/>
          <w:szCs w:val="24"/>
        </w:rPr>
        <w:t>Yoki’s</w:t>
      </w:r>
      <w:proofErr w:type="spellEnd"/>
      <w:r w:rsidRPr="0000348E">
        <w:rPr>
          <w:rFonts w:asciiTheme="minorHAnsi" w:hAnsiTheme="minorHAnsi"/>
          <w:szCs w:val="24"/>
        </w:rPr>
        <w:t xml:space="preserve"> Lounge.  </w:t>
      </w:r>
    </w:p>
    <w:p w:rsidR="00F32D70" w:rsidRPr="0000348E" w:rsidRDefault="00F32D70" w:rsidP="0000348E">
      <w:pPr>
        <w:spacing w:after="120"/>
        <w:ind w:left="720"/>
        <w:jc w:val="both"/>
        <w:rPr>
          <w:rFonts w:asciiTheme="minorHAnsi" w:hAnsiTheme="minorHAnsi"/>
          <w:szCs w:val="24"/>
        </w:rPr>
      </w:pPr>
    </w:p>
    <w:p w:rsidR="007D2F67" w:rsidRPr="0000348E" w:rsidRDefault="007D2F67" w:rsidP="0000348E">
      <w:pPr>
        <w:numPr>
          <w:ilvl w:val="0"/>
          <w:numId w:val="1"/>
        </w:numPr>
        <w:spacing w:after="120"/>
        <w:jc w:val="both"/>
        <w:rPr>
          <w:rFonts w:asciiTheme="minorHAnsi" w:hAnsiTheme="minorHAnsi"/>
          <w:szCs w:val="24"/>
        </w:rPr>
      </w:pPr>
      <w:r w:rsidRPr="0000348E">
        <w:rPr>
          <w:rFonts w:asciiTheme="minorHAnsi" w:hAnsiTheme="minorHAnsi"/>
          <w:szCs w:val="24"/>
        </w:rPr>
        <w:t xml:space="preserve">Carol Jones wanted her business to increase sales by 50 percent over the next five years. To do this, she must hire three more people.  She wanted to determine how to evaluate these people, so she lists their job specifications and develops job descriptions. She also listed where these employees would work and what training they would require.  What management functions is Carol performing, and how do they apply to this scenario? </w:t>
      </w:r>
    </w:p>
    <w:p w:rsidR="009F5136" w:rsidRPr="0000348E" w:rsidRDefault="009F5136" w:rsidP="0000348E">
      <w:pPr>
        <w:jc w:val="both"/>
        <w:rPr>
          <w:rFonts w:asciiTheme="minorHAnsi" w:hAnsiTheme="minorHAnsi"/>
          <w:szCs w:val="24"/>
        </w:rPr>
      </w:pPr>
    </w:p>
    <w:p w:rsidR="007D2F67" w:rsidRPr="0000348E" w:rsidRDefault="007D2F67" w:rsidP="0000348E">
      <w:pPr>
        <w:numPr>
          <w:ilvl w:val="0"/>
          <w:numId w:val="1"/>
        </w:numPr>
        <w:spacing w:after="120"/>
        <w:jc w:val="both"/>
        <w:rPr>
          <w:rFonts w:asciiTheme="minorHAnsi" w:hAnsiTheme="minorHAnsi"/>
          <w:szCs w:val="24"/>
        </w:rPr>
      </w:pPr>
      <w:r w:rsidRPr="0000348E">
        <w:rPr>
          <w:rFonts w:asciiTheme="minorHAnsi" w:hAnsiTheme="minorHAnsi"/>
          <w:szCs w:val="24"/>
        </w:rPr>
        <w:t xml:space="preserve">Sam Jones, Mary Adams, and Larry Brown have been talking about starting their own business for several years.  Sam is an electronic repairman, Mary is a partner in a large law firm, and Larry is an excellent sales person.  Sam and Larry will work in the business on an equal basis.  It will cost $100,000 to start this business.  Sam has no money, Mary has $60,000 and Larry has $40,000.  If they form a partnership, how would you recommend that they organize? </w:t>
      </w:r>
    </w:p>
    <w:p w:rsidR="007D2F67" w:rsidRPr="0000348E" w:rsidRDefault="007D2F67" w:rsidP="0000348E">
      <w:pPr>
        <w:jc w:val="both"/>
        <w:rPr>
          <w:rFonts w:asciiTheme="minorHAnsi" w:hAnsiTheme="minorHAnsi"/>
          <w:szCs w:val="24"/>
        </w:rPr>
      </w:pPr>
    </w:p>
    <w:p w:rsidR="007D2F67" w:rsidRPr="0000348E" w:rsidRDefault="007D2F67" w:rsidP="0000348E">
      <w:pPr>
        <w:numPr>
          <w:ilvl w:val="0"/>
          <w:numId w:val="1"/>
        </w:numPr>
        <w:spacing w:after="120"/>
        <w:jc w:val="both"/>
        <w:rPr>
          <w:rFonts w:asciiTheme="minorHAnsi" w:hAnsiTheme="minorHAnsi"/>
          <w:szCs w:val="24"/>
        </w:rPr>
      </w:pPr>
      <w:r w:rsidRPr="0000348E">
        <w:rPr>
          <w:rFonts w:asciiTheme="minorHAnsi" w:hAnsiTheme="minorHAnsi"/>
          <w:szCs w:val="24"/>
        </w:rPr>
        <w:t xml:space="preserve">Joe Latte has completed a business plan and determined that it will take $120,000 to open the coffee and gelato shop. He has $30,000 of his own money and will have to obtain $90,000 in loans or grants. How should Joe go about getting financing? What is the probability that he can obtain a grant to start an Italian ice cream shop? </w:t>
      </w:r>
    </w:p>
    <w:p w:rsidR="00F32D70" w:rsidRPr="0000348E" w:rsidRDefault="00F32D70" w:rsidP="0000348E">
      <w:pPr>
        <w:pStyle w:val="ListParagraph"/>
        <w:jc w:val="both"/>
        <w:rPr>
          <w:rFonts w:asciiTheme="minorHAnsi" w:hAnsiTheme="minorHAnsi"/>
          <w:szCs w:val="24"/>
        </w:rPr>
      </w:pPr>
    </w:p>
    <w:p w:rsidR="00F32D70" w:rsidRPr="0000348E" w:rsidRDefault="00F32D70" w:rsidP="0000348E">
      <w:pPr>
        <w:spacing w:after="120"/>
        <w:ind w:left="720"/>
        <w:jc w:val="both"/>
        <w:rPr>
          <w:rFonts w:asciiTheme="minorHAnsi" w:hAnsiTheme="minorHAnsi"/>
          <w:szCs w:val="24"/>
        </w:rPr>
      </w:pPr>
    </w:p>
    <w:p w:rsidR="007D2F67" w:rsidRPr="0000348E" w:rsidRDefault="007D2F67" w:rsidP="0000348E">
      <w:pPr>
        <w:numPr>
          <w:ilvl w:val="0"/>
          <w:numId w:val="1"/>
        </w:numPr>
        <w:spacing w:after="120"/>
        <w:jc w:val="both"/>
        <w:rPr>
          <w:rFonts w:asciiTheme="minorHAnsi" w:hAnsiTheme="minorHAnsi"/>
          <w:szCs w:val="24"/>
        </w:rPr>
      </w:pPr>
      <w:r w:rsidRPr="0000348E">
        <w:rPr>
          <w:rFonts w:asciiTheme="minorHAnsi" w:hAnsiTheme="minorHAnsi"/>
          <w:szCs w:val="24"/>
        </w:rPr>
        <w:t>Construct an income statement using the following information: net sales, $500,000; salaries, $100,000; rent, $24,000; COGS, $250,000; utilities, $25,000; payroll taxes, $25,000; insurance, $12,000; and interest expense, $5,450.  Make sure that you include gross profit, operating expenses, and net profit.</w:t>
      </w:r>
    </w:p>
    <w:p w:rsidR="00422694" w:rsidRPr="00D176B4" w:rsidRDefault="00422694" w:rsidP="00422694">
      <w:pPr>
        <w:autoSpaceDE w:val="0"/>
        <w:autoSpaceDN w:val="0"/>
        <w:adjustRightInd w:val="0"/>
        <w:spacing w:before="240"/>
        <w:jc w:val="both"/>
        <w:rPr>
          <w:rFonts w:cs="Thorndale for VST"/>
          <w:szCs w:val="24"/>
        </w:rPr>
      </w:pPr>
    </w:p>
    <w:tbl>
      <w:tblPr>
        <w:tblStyle w:val="GridTable1Light-Accent11"/>
        <w:tblW w:w="5000" w:type="pct"/>
        <w:tblLook w:val="04A0" w:firstRow="1" w:lastRow="0" w:firstColumn="1" w:lastColumn="0" w:noHBand="0" w:noVBand="1"/>
      </w:tblPr>
      <w:tblGrid>
        <w:gridCol w:w="4772"/>
        <w:gridCol w:w="1512"/>
        <w:gridCol w:w="2958"/>
      </w:tblGrid>
      <w:tr w:rsidR="00422694" w:rsidRPr="00D176B4" w:rsidTr="00024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422694" w:rsidRPr="00D176B4" w:rsidRDefault="00422694" w:rsidP="00A34436">
            <w:pPr>
              <w:jc w:val="both"/>
              <w:rPr>
                <w:rFonts w:asciiTheme="minorHAnsi" w:eastAsia="Calibri" w:hAnsiTheme="minorHAnsi" w:cs="Calibri"/>
                <w:szCs w:val="24"/>
              </w:rPr>
            </w:pPr>
            <w:bookmarkStart w:id="0" w:name="_GoBack" w:colFirst="0" w:colLast="1"/>
            <w:r w:rsidRPr="00D176B4">
              <w:rPr>
                <w:rFonts w:asciiTheme="minorHAnsi" w:eastAsia="Calibri" w:hAnsiTheme="minorHAnsi" w:cs="Calibri"/>
                <w:szCs w:val="24"/>
              </w:rPr>
              <w:t>Assessment Mapping Checklist</w:t>
            </w:r>
          </w:p>
          <w:p w:rsidR="00422694" w:rsidRPr="00D176B4" w:rsidRDefault="00422694" w:rsidP="00A34436">
            <w:pPr>
              <w:jc w:val="both"/>
              <w:rPr>
                <w:rFonts w:asciiTheme="minorHAnsi" w:eastAsia="Calibri" w:hAnsiTheme="minorHAnsi" w:cs="Calibri"/>
                <w:szCs w:val="24"/>
              </w:rPr>
            </w:pPr>
            <w:r w:rsidRPr="00D176B4">
              <w:rPr>
                <w:rFonts w:asciiTheme="minorHAnsi" w:eastAsia="Calibri" w:hAnsiTheme="minorHAnsi" w:cs="Calibri"/>
                <w:szCs w:val="24"/>
              </w:rPr>
              <w:t>Learner</w:t>
            </w:r>
            <w:r w:rsidRPr="00D176B4">
              <w:rPr>
                <w:rFonts w:asciiTheme="minorHAnsi" w:eastAsia="Calibri" w:hAnsiTheme="minorHAnsi" w:cs="Calibri"/>
                <w:spacing w:val="-2"/>
                <w:szCs w:val="24"/>
              </w:rPr>
              <w:t xml:space="preserve"> </w:t>
            </w:r>
            <w:r w:rsidRPr="00D176B4">
              <w:rPr>
                <w:rFonts w:asciiTheme="minorHAnsi" w:eastAsia="Calibri" w:hAnsiTheme="minorHAnsi" w:cs="Calibri"/>
                <w:szCs w:val="24"/>
              </w:rPr>
              <w:t>N</w:t>
            </w:r>
            <w:r w:rsidRPr="00D176B4">
              <w:rPr>
                <w:rFonts w:asciiTheme="minorHAnsi" w:eastAsia="Calibri" w:hAnsiTheme="minorHAnsi" w:cs="Calibri"/>
                <w:spacing w:val="-1"/>
                <w:szCs w:val="24"/>
              </w:rPr>
              <w:t>a</w:t>
            </w:r>
            <w:r w:rsidRPr="00D176B4">
              <w:rPr>
                <w:rFonts w:asciiTheme="minorHAnsi" w:eastAsia="Calibri" w:hAnsiTheme="minorHAnsi" w:cs="Calibri"/>
                <w:spacing w:val="-2"/>
                <w:szCs w:val="24"/>
              </w:rPr>
              <w:t>m</w:t>
            </w:r>
            <w:r w:rsidRPr="00D176B4">
              <w:rPr>
                <w:rFonts w:asciiTheme="minorHAnsi" w:eastAsia="Calibri" w:hAnsiTheme="minorHAnsi" w:cs="Calibri"/>
                <w:szCs w:val="24"/>
              </w:rPr>
              <w:t>e</w:t>
            </w:r>
            <w:r w:rsidRPr="00D176B4">
              <w:rPr>
                <w:rFonts w:asciiTheme="minorHAnsi" w:eastAsia="Calibri" w:hAnsiTheme="minorHAnsi" w:cs="Calibri"/>
                <w:spacing w:val="1"/>
                <w:szCs w:val="24"/>
              </w:rPr>
              <w:t>/</w:t>
            </w:r>
            <w:r w:rsidRPr="00D176B4">
              <w:rPr>
                <w:rFonts w:asciiTheme="minorHAnsi" w:eastAsia="Calibri" w:hAnsiTheme="minorHAnsi" w:cs="Calibri"/>
                <w:spacing w:val="-3"/>
                <w:szCs w:val="24"/>
              </w:rPr>
              <w:t>I</w:t>
            </w:r>
            <w:r w:rsidRPr="00D176B4">
              <w:rPr>
                <w:rFonts w:asciiTheme="minorHAnsi" w:eastAsia="Calibri" w:hAnsiTheme="minorHAnsi" w:cs="Calibri"/>
                <w:szCs w:val="24"/>
              </w:rPr>
              <w:t>D: ___________________________________</w:t>
            </w:r>
          </w:p>
        </w:tc>
      </w:tr>
      <w:tr w:rsidR="00060797" w:rsidRPr="000241AB" w:rsidTr="00060797">
        <w:tc>
          <w:tcPr>
            <w:cnfStyle w:val="001000000000" w:firstRow="0" w:lastRow="0" w:firstColumn="1" w:lastColumn="0" w:oddVBand="0" w:evenVBand="0" w:oddHBand="0" w:evenHBand="0" w:firstRowFirstColumn="0" w:firstRowLastColumn="0" w:lastRowFirstColumn="0" w:lastRowLastColumn="0"/>
            <w:tcW w:w="4772" w:type="dxa"/>
          </w:tcPr>
          <w:p w:rsidR="00422694" w:rsidRPr="000241AB" w:rsidRDefault="00422694" w:rsidP="00A34436">
            <w:pPr>
              <w:jc w:val="both"/>
              <w:rPr>
                <w:rFonts w:asciiTheme="minorHAnsi" w:hAnsiTheme="minorHAnsi"/>
                <w:szCs w:val="24"/>
              </w:rPr>
            </w:pPr>
            <w:r w:rsidRPr="000241AB">
              <w:rPr>
                <w:rFonts w:asciiTheme="minorHAnsi" w:hAnsiTheme="minorHAnsi"/>
                <w:szCs w:val="24"/>
              </w:rPr>
              <w:t>Performance &amp; Knowledge Evidence</w:t>
            </w:r>
          </w:p>
        </w:tc>
        <w:tc>
          <w:tcPr>
            <w:tcW w:w="1512" w:type="dxa"/>
          </w:tcPr>
          <w:p w:rsidR="00422694" w:rsidRPr="000241AB"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0241AB">
              <w:rPr>
                <w:rFonts w:asciiTheme="minorHAnsi" w:eastAsia="Calibri" w:hAnsiTheme="minorHAnsi" w:cs="Calibri"/>
                <w:b/>
                <w:szCs w:val="24"/>
              </w:rPr>
              <w:t>C/NYC</w:t>
            </w:r>
          </w:p>
        </w:tc>
        <w:tc>
          <w:tcPr>
            <w:tcW w:w="2958" w:type="dxa"/>
          </w:tcPr>
          <w:p w:rsidR="00422694" w:rsidRPr="000241AB"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0241AB">
              <w:rPr>
                <w:rFonts w:asciiTheme="minorHAnsi" w:hAnsiTheme="minorHAnsi"/>
                <w:b/>
                <w:szCs w:val="24"/>
              </w:rPr>
              <w:t>Comments</w:t>
            </w:r>
          </w:p>
        </w:tc>
      </w:tr>
      <w:tr w:rsidR="00422694" w:rsidRPr="000241AB" w:rsidTr="00A34436">
        <w:tc>
          <w:tcPr>
            <w:cnfStyle w:val="001000000000" w:firstRow="0" w:lastRow="0" w:firstColumn="1" w:lastColumn="0" w:oddVBand="0" w:evenVBand="0" w:oddHBand="0" w:evenHBand="0" w:firstRowFirstColumn="0" w:firstRowLastColumn="0" w:lastRowFirstColumn="0" w:lastRowLastColumn="0"/>
            <w:tcW w:w="4886" w:type="dxa"/>
          </w:tcPr>
          <w:p w:rsidR="00422694" w:rsidRPr="000241AB" w:rsidRDefault="00422694" w:rsidP="00A34436">
            <w:pPr>
              <w:jc w:val="both"/>
              <w:rPr>
                <w:rFonts w:asciiTheme="minorHAnsi" w:hAnsiTheme="minorHAnsi"/>
                <w:szCs w:val="24"/>
              </w:rPr>
            </w:pPr>
            <w:r w:rsidRPr="000241AB">
              <w:rPr>
                <w:rFonts w:asciiTheme="minorHAnsi" w:hAnsiTheme="minorHAnsi"/>
                <w:szCs w:val="24"/>
              </w:rPr>
              <w:t>Performance Evidence</w:t>
            </w:r>
          </w:p>
        </w:tc>
        <w:tc>
          <w:tcPr>
            <w:tcW w:w="1574" w:type="dxa"/>
          </w:tcPr>
          <w:p w:rsidR="00422694" w:rsidRPr="000241AB"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p>
        </w:tc>
        <w:tc>
          <w:tcPr>
            <w:tcW w:w="3116" w:type="dxa"/>
          </w:tcPr>
          <w:p w:rsidR="00422694" w:rsidRPr="000241AB"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p>
        </w:tc>
      </w:tr>
      <w:tr w:rsidR="000241AB" w:rsidRPr="00D176B4" w:rsidTr="00A34436">
        <w:trPr>
          <w:trHeight w:val="419"/>
        </w:trPr>
        <w:tc>
          <w:tcPr>
            <w:cnfStyle w:val="001000000000" w:firstRow="0" w:lastRow="0" w:firstColumn="1" w:lastColumn="0" w:oddVBand="0" w:evenVBand="0" w:oddHBand="0" w:evenHBand="0" w:firstRowFirstColumn="0" w:firstRowLastColumn="0" w:lastRowFirstColumn="0" w:lastRowLastColumn="0"/>
            <w:tcW w:w="4886"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lang w:val="en-AU" w:eastAsia="zh-CN"/>
              </w:rPr>
            </w:pPr>
            <w:r w:rsidRPr="000241AB">
              <w:rPr>
                <w:rFonts w:asciiTheme="minorHAnsi" w:hAnsiTheme="minorHAnsi"/>
                <w:b w:val="0"/>
                <w:color w:val="000000"/>
              </w:rPr>
              <w:t xml:space="preserve">access clients’ needs and </w:t>
            </w:r>
            <w:proofErr w:type="spellStart"/>
            <w:r w:rsidRPr="000241AB">
              <w:rPr>
                <w:rFonts w:asciiTheme="minorHAnsi" w:hAnsiTheme="minorHAnsi"/>
                <w:b w:val="0"/>
                <w:color w:val="000000"/>
              </w:rPr>
              <w:t>analyse</w:t>
            </w:r>
            <w:proofErr w:type="spellEnd"/>
            <w:r w:rsidRPr="000241AB">
              <w:rPr>
                <w:rFonts w:asciiTheme="minorHAnsi" w:hAnsiTheme="minorHAnsi"/>
                <w:b w:val="0"/>
                <w:color w:val="000000"/>
              </w:rPr>
              <w:t xml:space="preserve"> their financial data</w:t>
            </w:r>
          </w:p>
        </w:tc>
        <w:tc>
          <w:tcPr>
            <w:tcW w:w="1574"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3116"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0241AB" w:rsidRPr="00D176B4" w:rsidTr="000241AB">
        <w:trPr>
          <w:trHeight w:val="419"/>
        </w:trPr>
        <w:tc>
          <w:tcPr>
            <w:cnfStyle w:val="001000000000" w:firstRow="0" w:lastRow="0" w:firstColumn="1" w:lastColumn="0" w:oddVBand="0" w:evenVBand="0" w:oddHBand="0" w:evenHBand="0" w:firstRowFirstColumn="0" w:firstRowLastColumn="0" w:lastRowFirstColumn="0" w:lastRowLastColumn="0"/>
            <w:tcW w:w="4731" w:type="dxa"/>
            <w:vAlign w:val="center"/>
          </w:tcPr>
          <w:p w:rsidR="000241AB" w:rsidRPr="00060797" w:rsidRDefault="000241AB" w:rsidP="00720BE6">
            <w:pPr>
              <w:jc w:val="both"/>
              <w:rPr>
                <w:rFonts w:asciiTheme="minorHAnsi" w:hAnsiTheme="minorHAnsi"/>
                <w:color w:val="000000"/>
                <w:sz w:val="16"/>
                <w:szCs w:val="16"/>
              </w:rPr>
            </w:pPr>
            <w:r w:rsidRPr="00060797">
              <w:rPr>
                <w:rFonts w:asciiTheme="minorHAnsi" w:hAnsiTheme="minorHAnsi"/>
                <w:color w:val="000000"/>
              </w:rPr>
              <w:t>prepare and document appropriate advice for clients that:</w:t>
            </w:r>
          </w:p>
          <w:p w:rsidR="00060797" w:rsidRPr="000241AB" w:rsidRDefault="00060797"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complies with financial legislation and accounting standards, practices and principles</w:t>
            </w:r>
          </w:p>
        </w:tc>
        <w:tc>
          <w:tcPr>
            <w:tcW w:w="1523"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2988"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0241AB" w:rsidRPr="00D176B4" w:rsidTr="000241AB">
        <w:trPr>
          <w:trHeight w:val="419"/>
        </w:trPr>
        <w:tc>
          <w:tcPr>
            <w:cnfStyle w:val="001000000000" w:firstRow="0" w:lastRow="0" w:firstColumn="1" w:lastColumn="0" w:oddVBand="0" w:evenVBand="0" w:oddHBand="0" w:evenHBand="0" w:firstRowFirstColumn="0" w:firstRowLastColumn="0" w:lastRowFirstColumn="0" w:lastRowLastColumn="0"/>
            <w:tcW w:w="4731"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assesses taxation, compliance and business viability issues faced by clients</w:t>
            </w:r>
          </w:p>
        </w:tc>
        <w:tc>
          <w:tcPr>
            <w:tcW w:w="1523"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2988"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0241AB" w:rsidRPr="00D176B4" w:rsidTr="00060797">
        <w:trPr>
          <w:trHeight w:val="419"/>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60797"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assesses risk m</w:t>
            </w:r>
            <w:r w:rsidR="00060797">
              <w:rPr>
                <w:rFonts w:asciiTheme="minorHAnsi" w:hAnsiTheme="minorHAnsi"/>
                <w:b w:val="0"/>
                <w:color w:val="000000"/>
              </w:rPr>
              <w:t>anagement options and practices</w:t>
            </w:r>
          </w:p>
          <w:p w:rsidR="00060797" w:rsidRPr="000241AB" w:rsidRDefault="00060797" w:rsidP="00720BE6">
            <w:pPr>
              <w:pStyle w:val="ListParagraph"/>
              <w:jc w:val="both"/>
              <w:rPr>
                <w:rFonts w:asciiTheme="minorHAnsi" w:hAnsiTheme="minorHAnsi"/>
                <w:b w:val="0"/>
                <w:color w:val="000000"/>
                <w:sz w:val="16"/>
                <w:szCs w:val="16"/>
              </w:rPr>
            </w:pPr>
          </w:p>
        </w:tc>
        <w:tc>
          <w:tcPr>
            <w:tcW w:w="1512"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c>
          <w:tcPr>
            <w:tcW w:w="2958" w:type="dxa"/>
          </w:tcPr>
          <w:p w:rsidR="000241AB" w:rsidRPr="00D176B4" w:rsidRDefault="000241AB" w:rsidP="000241AB">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color w:val="000000"/>
              </w:rPr>
            </w:pPr>
          </w:p>
        </w:tc>
      </w:tr>
      <w:tr w:rsidR="00422694" w:rsidRPr="00D176B4" w:rsidTr="00060797">
        <w:tc>
          <w:tcPr>
            <w:cnfStyle w:val="001000000000" w:firstRow="0" w:lastRow="0" w:firstColumn="1" w:lastColumn="0" w:oddVBand="0" w:evenVBand="0" w:oddHBand="0" w:evenHBand="0" w:firstRowFirstColumn="0" w:firstRowLastColumn="0" w:lastRowFirstColumn="0" w:lastRowLastColumn="0"/>
            <w:tcW w:w="4772" w:type="dxa"/>
          </w:tcPr>
          <w:p w:rsidR="00422694" w:rsidRPr="000241AB" w:rsidRDefault="00422694" w:rsidP="00720BE6">
            <w:pPr>
              <w:jc w:val="both"/>
              <w:rPr>
                <w:rFonts w:asciiTheme="minorHAnsi" w:hAnsiTheme="minorHAnsi"/>
                <w:szCs w:val="24"/>
              </w:rPr>
            </w:pPr>
            <w:r w:rsidRPr="000241AB">
              <w:rPr>
                <w:rFonts w:asciiTheme="minorHAnsi" w:hAnsiTheme="minorHAnsi"/>
                <w:szCs w:val="24"/>
              </w:rPr>
              <w:t>Knowledge Evidence</w:t>
            </w:r>
          </w:p>
        </w:tc>
        <w:tc>
          <w:tcPr>
            <w:tcW w:w="1512" w:type="dxa"/>
          </w:tcPr>
          <w:p w:rsidR="00422694" w:rsidRPr="00D176B4"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422694" w:rsidRPr="00D176B4"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lang w:val="en-AU" w:eastAsia="zh-CN"/>
              </w:rPr>
            </w:pPr>
            <w:bookmarkStart w:id="1" w:name="RANGE!A15"/>
            <w:r w:rsidRPr="000241AB">
              <w:rPr>
                <w:rFonts w:asciiTheme="minorHAnsi" w:hAnsiTheme="minorHAnsi"/>
                <w:b w:val="0"/>
                <w:color w:val="000000"/>
              </w:rPr>
              <w:t>explain the key requirements of taxation legislation relating to deductions, allowances and charges</w:t>
            </w:r>
            <w:bookmarkEnd w:id="1"/>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list the key areas that can cause significant taxation issues</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compare and contrast forecasting techniques</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identify and explain the key features of government financial policy and secretary’s financial management instructions</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explain the key requirements of relevant corporations and consumer legislation</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describe a range of methods for presenting and formatting financial data</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identify and explain the key principles of cash flow and budgetary control</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rPr>
          <w:trHeight w:val="778"/>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 xml:space="preserve">identify and </w:t>
            </w:r>
            <w:proofErr w:type="spellStart"/>
            <w:r w:rsidRPr="000241AB">
              <w:rPr>
                <w:rFonts w:asciiTheme="minorHAnsi" w:hAnsiTheme="minorHAnsi"/>
                <w:b w:val="0"/>
                <w:color w:val="000000"/>
              </w:rPr>
              <w:t>categorise</w:t>
            </w:r>
            <w:proofErr w:type="spellEnd"/>
            <w:r w:rsidRPr="000241AB">
              <w:rPr>
                <w:rFonts w:asciiTheme="minorHAnsi" w:hAnsiTheme="minorHAnsi"/>
                <w:b w:val="0"/>
                <w:color w:val="000000"/>
              </w:rPr>
              <w:t xml:space="preserve"> sources of information on financial products and markets</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rPr>
          <w:trHeight w:val="778"/>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outline a range of risks and contingencies and risk management options relating to financial and business performance</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rPr>
          <w:trHeight w:val="778"/>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lastRenderedPageBreak/>
              <w:t>outline client rights and responsibilities.</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rPr>
          <w:trHeight w:val="778"/>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0"/>
                <w:numId w:val="3"/>
              </w:numPr>
              <w:jc w:val="both"/>
              <w:rPr>
                <w:rFonts w:asciiTheme="minorHAnsi" w:hAnsiTheme="minorHAnsi"/>
                <w:b w:val="0"/>
                <w:color w:val="000000"/>
                <w:sz w:val="16"/>
                <w:szCs w:val="16"/>
              </w:rPr>
            </w:pPr>
            <w:r w:rsidRPr="000241AB">
              <w:rPr>
                <w:rFonts w:asciiTheme="minorHAnsi" w:hAnsiTheme="minorHAnsi"/>
                <w:b w:val="0"/>
                <w:color w:val="000000"/>
              </w:rPr>
              <w:t xml:space="preserve">explain the security procedures for handling </w:t>
            </w:r>
            <w:proofErr w:type="spellStart"/>
            <w:r w:rsidRPr="000241AB">
              <w:rPr>
                <w:rFonts w:asciiTheme="minorHAnsi" w:hAnsiTheme="minorHAnsi"/>
                <w:b w:val="0"/>
                <w:color w:val="000000"/>
              </w:rPr>
              <w:t>cheques</w:t>
            </w:r>
            <w:proofErr w:type="spellEnd"/>
            <w:r w:rsidRPr="000241AB">
              <w:rPr>
                <w:rFonts w:asciiTheme="minorHAnsi" w:hAnsiTheme="minorHAnsi"/>
                <w:b w:val="0"/>
                <w:color w:val="000000"/>
              </w:rPr>
              <w:t>, vouchers and cash</w:t>
            </w: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0241AB" w:rsidRPr="00D176B4" w:rsidTr="00060797">
        <w:trPr>
          <w:trHeight w:val="778"/>
        </w:trPr>
        <w:tc>
          <w:tcPr>
            <w:cnfStyle w:val="001000000000" w:firstRow="0" w:lastRow="0" w:firstColumn="1" w:lastColumn="0" w:oddVBand="0" w:evenVBand="0" w:oddHBand="0" w:evenHBand="0" w:firstRowFirstColumn="0" w:firstRowLastColumn="0" w:lastRowFirstColumn="0" w:lastRowLastColumn="0"/>
            <w:tcW w:w="4772" w:type="dxa"/>
            <w:vAlign w:val="center"/>
          </w:tcPr>
          <w:p w:rsidR="000241AB" w:rsidRPr="000241AB" w:rsidRDefault="000241AB" w:rsidP="00720BE6">
            <w:pPr>
              <w:pStyle w:val="ListParagraph"/>
              <w:numPr>
                <w:ilvl w:val="1"/>
                <w:numId w:val="3"/>
              </w:numPr>
              <w:jc w:val="both"/>
              <w:rPr>
                <w:rFonts w:asciiTheme="minorHAnsi" w:hAnsiTheme="minorHAnsi"/>
                <w:b w:val="0"/>
                <w:color w:val="000000"/>
                <w:sz w:val="16"/>
                <w:szCs w:val="16"/>
                <w:lang w:val="en-AU" w:eastAsia="zh-CN"/>
              </w:rPr>
            </w:pPr>
            <w:r w:rsidRPr="000241AB">
              <w:rPr>
                <w:rFonts w:asciiTheme="minorHAnsi" w:hAnsiTheme="minorHAnsi"/>
                <w:b w:val="0"/>
                <w:color w:val="000000"/>
              </w:rPr>
              <w:t>describe the key features of a range of reports.</w:t>
            </w:r>
          </w:p>
          <w:p w:rsidR="000241AB" w:rsidRPr="000241AB" w:rsidRDefault="000241AB" w:rsidP="00720BE6">
            <w:pPr>
              <w:ind w:firstLineChars="200" w:firstLine="320"/>
              <w:jc w:val="both"/>
              <w:rPr>
                <w:rFonts w:asciiTheme="minorHAnsi" w:hAnsiTheme="minorHAnsi"/>
                <w:b w:val="0"/>
                <w:color w:val="000000"/>
                <w:sz w:val="16"/>
                <w:szCs w:val="16"/>
                <w:lang w:val="en-AU"/>
              </w:rPr>
            </w:pPr>
          </w:p>
        </w:tc>
        <w:tc>
          <w:tcPr>
            <w:tcW w:w="1512"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c>
          <w:tcPr>
            <w:tcW w:w="2958" w:type="dxa"/>
          </w:tcPr>
          <w:p w:rsidR="000241AB" w:rsidRPr="00D176B4" w:rsidRDefault="000241AB" w:rsidP="000241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p>
        </w:tc>
      </w:tr>
      <w:tr w:rsidR="00422694" w:rsidRPr="00D176B4" w:rsidTr="000241AB">
        <w:trPr>
          <w:trHeight w:val="1018"/>
        </w:trPr>
        <w:tc>
          <w:tcPr>
            <w:cnfStyle w:val="001000000000" w:firstRow="0" w:lastRow="0" w:firstColumn="1" w:lastColumn="0" w:oddVBand="0" w:evenVBand="0" w:oddHBand="0" w:evenHBand="0" w:firstRowFirstColumn="0" w:firstRowLastColumn="0" w:lastRowFirstColumn="0" w:lastRowLastColumn="0"/>
            <w:tcW w:w="9242" w:type="dxa"/>
            <w:gridSpan w:val="3"/>
          </w:tcPr>
          <w:p w:rsidR="00422694" w:rsidRPr="00D176B4" w:rsidRDefault="00422694" w:rsidP="00A34436">
            <w:pPr>
              <w:jc w:val="both"/>
              <w:rPr>
                <w:rFonts w:asciiTheme="minorHAnsi" w:hAnsiTheme="minorHAnsi"/>
                <w:szCs w:val="24"/>
              </w:rPr>
            </w:pPr>
            <w:r w:rsidRPr="00D176B4">
              <w:rPr>
                <w:rFonts w:asciiTheme="minorHAnsi" w:hAnsiTheme="minorHAnsi"/>
                <w:szCs w:val="24"/>
              </w:rPr>
              <w:t>Comments:</w:t>
            </w:r>
          </w:p>
        </w:tc>
      </w:tr>
      <w:tr w:rsidR="00422694" w:rsidRPr="00D176B4" w:rsidTr="00060797">
        <w:tc>
          <w:tcPr>
            <w:cnfStyle w:val="001000000000" w:firstRow="0" w:lastRow="0" w:firstColumn="1" w:lastColumn="0" w:oddVBand="0" w:evenVBand="0" w:oddHBand="0" w:evenHBand="0" w:firstRowFirstColumn="0" w:firstRowLastColumn="0" w:lastRowFirstColumn="0" w:lastRowLastColumn="0"/>
            <w:tcW w:w="4772" w:type="dxa"/>
          </w:tcPr>
          <w:p w:rsidR="00422694" w:rsidRPr="00D176B4" w:rsidRDefault="00422694" w:rsidP="00A34436">
            <w:pPr>
              <w:jc w:val="both"/>
              <w:rPr>
                <w:rFonts w:asciiTheme="minorHAnsi" w:hAnsiTheme="minorHAnsi"/>
                <w:szCs w:val="24"/>
              </w:rPr>
            </w:pPr>
            <w:r w:rsidRPr="00D176B4">
              <w:rPr>
                <w:rFonts w:asciiTheme="minorHAnsi" w:hAnsiTheme="minorHAnsi"/>
                <w:szCs w:val="24"/>
              </w:rPr>
              <w:t>Signed by Learner:</w:t>
            </w:r>
          </w:p>
          <w:p w:rsidR="00422694" w:rsidRPr="00D176B4" w:rsidRDefault="00422694" w:rsidP="00A34436">
            <w:pPr>
              <w:jc w:val="both"/>
              <w:rPr>
                <w:rFonts w:asciiTheme="minorHAnsi" w:hAnsiTheme="minorHAnsi"/>
                <w:szCs w:val="24"/>
              </w:rPr>
            </w:pPr>
            <w:r w:rsidRPr="00D176B4">
              <w:rPr>
                <w:rFonts w:asciiTheme="minorHAnsi" w:hAnsiTheme="minorHAnsi"/>
                <w:szCs w:val="24"/>
              </w:rPr>
              <w:t>Date:</w:t>
            </w:r>
          </w:p>
        </w:tc>
        <w:tc>
          <w:tcPr>
            <w:tcW w:w="4470" w:type="dxa"/>
            <w:gridSpan w:val="2"/>
          </w:tcPr>
          <w:p w:rsidR="00422694" w:rsidRPr="00D176B4"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D176B4">
              <w:rPr>
                <w:rFonts w:asciiTheme="minorHAnsi" w:hAnsiTheme="minorHAnsi"/>
                <w:b/>
                <w:szCs w:val="24"/>
              </w:rPr>
              <w:t>Signed by Assessor:</w:t>
            </w:r>
          </w:p>
          <w:p w:rsidR="00422694" w:rsidRPr="00D176B4" w:rsidRDefault="00422694" w:rsidP="00A3443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D176B4">
              <w:rPr>
                <w:rFonts w:asciiTheme="minorHAnsi" w:hAnsiTheme="minorHAnsi"/>
                <w:b/>
                <w:szCs w:val="24"/>
              </w:rPr>
              <w:t>Date:</w:t>
            </w:r>
          </w:p>
        </w:tc>
      </w:tr>
      <w:bookmarkEnd w:id="0"/>
    </w:tbl>
    <w:p w:rsidR="00422694" w:rsidRPr="00D176B4" w:rsidRDefault="00422694" w:rsidP="00422694">
      <w:pPr>
        <w:jc w:val="both"/>
        <w:rPr>
          <w:szCs w:val="24"/>
        </w:rPr>
      </w:pPr>
    </w:p>
    <w:p w:rsidR="00422694" w:rsidRPr="00D176B4" w:rsidRDefault="00422694" w:rsidP="00422694">
      <w:pPr>
        <w:jc w:val="both"/>
        <w:rPr>
          <w:szCs w:val="24"/>
        </w:rPr>
      </w:pPr>
    </w:p>
    <w:p w:rsidR="007D2F67" w:rsidRPr="0000348E" w:rsidRDefault="007D2F67" w:rsidP="0000348E">
      <w:pPr>
        <w:jc w:val="both"/>
        <w:rPr>
          <w:rFonts w:asciiTheme="minorHAnsi" w:hAnsiTheme="minorHAnsi"/>
          <w:szCs w:val="24"/>
        </w:rPr>
      </w:pPr>
    </w:p>
    <w:sectPr w:rsidR="007D2F67" w:rsidRPr="00003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Thorndale for VST">
    <w:altName w:val="Times New Roman"/>
    <w:charset w:val="00"/>
    <w:family w:val="roman"/>
    <w:pitch w:val="variable"/>
    <w:sig w:usb0="00000001" w:usb1="000004E8"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01BA8"/>
    <w:multiLevelType w:val="singleLevel"/>
    <w:tmpl w:val="5DF61BE0"/>
    <w:lvl w:ilvl="0">
      <w:start w:val="1"/>
      <w:numFmt w:val="decimal"/>
      <w:lvlText w:val="%1."/>
      <w:legacy w:legacy="1" w:legacySpace="0" w:legacyIndent="720"/>
      <w:lvlJc w:val="left"/>
      <w:pPr>
        <w:ind w:left="720" w:hanging="720"/>
      </w:pPr>
      <w:rPr>
        <w:rFonts w:cs="Times New Roman"/>
      </w:rPr>
    </w:lvl>
  </w:abstractNum>
  <w:abstractNum w:abstractNumId="1" w15:restartNumberingAfterBreak="0">
    <w:nsid w:val="6F2A7EEB"/>
    <w:multiLevelType w:val="hybridMultilevel"/>
    <w:tmpl w:val="A258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E8364E"/>
    <w:multiLevelType w:val="hybridMultilevel"/>
    <w:tmpl w:val="DFF6A304"/>
    <w:lvl w:ilvl="0" w:tplc="0C090001">
      <w:start w:val="1"/>
      <w:numFmt w:val="bullet"/>
      <w:lvlText w:val=""/>
      <w:lvlJc w:val="left"/>
      <w:pPr>
        <w:ind w:left="720" w:hanging="360"/>
      </w:pPr>
      <w:rPr>
        <w:rFonts w:ascii="Symbol" w:hAnsi="Symbol" w:hint="default"/>
      </w:rPr>
    </w:lvl>
    <w:lvl w:ilvl="1" w:tplc="557C074C">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67"/>
    <w:rsid w:val="0000348E"/>
    <w:rsid w:val="000241AB"/>
    <w:rsid w:val="00060797"/>
    <w:rsid w:val="00422694"/>
    <w:rsid w:val="005244AC"/>
    <w:rsid w:val="00720BE6"/>
    <w:rsid w:val="007D2F67"/>
    <w:rsid w:val="009F5136"/>
    <w:rsid w:val="00F32D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5CC2"/>
  <w15:docId w15:val="{ADA1DC03-C058-4E17-9485-8E3D8623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67"/>
    <w:pPr>
      <w:spacing w:after="0" w:line="240" w:lineRule="auto"/>
    </w:pPr>
    <w:rPr>
      <w:rFonts w:ascii="Century Schoolbook" w:eastAsia="Times New Roman" w:hAnsi="Century Schoolbook"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32D70"/>
    <w:pPr>
      <w:ind w:left="720"/>
      <w:contextualSpacing/>
    </w:pPr>
  </w:style>
  <w:style w:type="character" w:customStyle="1" w:styleId="ListParagraphChar">
    <w:name w:val="List Paragraph Char"/>
    <w:basedOn w:val="DefaultParagraphFont"/>
    <w:link w:val="ListParagraph"/>
    <w:uiPriority w:val="1"/>
    <w:rsid w:val="00422694"/>
    <w:rPr>
      <w:rFonts w:ascii="Century Schoolbook" w:eastAsia="Times New Roman" w:hAnsi="Century Schoolbook" w:cs="Times New Roman"/>
      <w:sz w:val="24"/>
      <w:szCs w:val="20"/>
      <w:lang w:val="en-US" w:eastAsia="en-US"/>
    </w:rPr>
  </w:style>
  <w:style w:type="table" w:customStyle="1" w:styleId="GridTable1Light-Accent11">
    <w:name w:val="Grid Table 1 Light - Accent 11"/>
    <w:basedOn w:val="TableNormal"/>
    <w:uiPriority w:val="46"/>
    <w:rsid w:val="00422694"/>
    <w:pPr>
      <w:spacing w:after="0" w:line="240" w:lineRule="auto"/>
    </w:pPr>
    <w:rPr>
      <w:rFonts w:ascii="Times New Roman" w:hAnsi="Times New Roman" w:cs="Times New Roman"/>
      <w:sz w:val="20"/>
      <w:szCs w:val="20"/>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81721">
      <w:bodyDiv w:val="1"/>
      <w:marLeft w:val="0"/>
      <w:marRight w:val="0"/>
      <w:marTop w:val="0"/>
      <w:marBottom w:val="0"/>
      <w:divBdr>
        <w:top w:val="none" w:sz="0" w:space="0" w:color="auto"/>
        <w:left w:val="none" w:sz="0" w:space="0" w:color="auto"/>
        <w:bottom w:val="none" w:sz="0" w:space="0" w:color="auto"/>
        <w:right w:val="none" w:sz="0" w:space="0" w:color="auto"/>
      </w:divBdr>
    </w:div>
    <w:div w:id="1316377630">
      <w:bodyDiv w:val="1"/>
      <w:marLeft w:val="0"/>
      <w:marRight w:val="0"/>
      <w:marTop w:val="0"/>
      <w:marBottom w:val="0"/>
      <w:divBdr>
        <w:top w:val="none" w:sz="0" w:space="0" w:color="auto"/>
        <w:left w:val="none" w:sz="0" w:space="0" w:color="auto"/>
        <w:bottom w:val="none" w:sz="0" w:space="0" w:color="auto"/>
        <w:right w:val="none" w:sz="0" w:space="0" w:color="auto"/>
      </w:divBdr>
    </w:div>
    <w:div w:id="18089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Chun Jiang</dc:creator>
  <cp:lastModifiedBy>Dr Paul Howe</cp:lastModifiedBy>
  <cp:revision>9</cp:revision>
  <dcterms:created xsi:type="dcterms:W3CDTF">2016-05-22T09:27:00Z</dcterms:created>
  <dcterms:modified xsi:type="dcterms:W3CDTF">2016-05-27T20:14:00Z</dcterms:modified>
</cp:coreProperties>
</file>