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3B" w:rsidRDefault="0096143B" w:rsidP="0096143B">
      <w:pPr>
        <w:spacing w:line="480" w:lineRule="auto"/>
        <w:jc w:val="center"/>
        <w:rPr>
          <w:b/>
          <w:u w:val="single"/>
        </w:rPr>
      </w:pPr>
    </w:p>
    <w:p w:rsidR="0096143B" w:rsidRDefault="0096143B" w:rsidP="0096143B">
      <w:pPr>
        <w:spacing w:line="480" w:lineRule="auto"/>
        <w:jc w:val="center"/>
        <w:rPr>
          <w:b/>
          <w:u w:val="single"/>
        </w:rPr>
      </w:pPr>
    </w:p>
    <w:p w:rsidR="0096143B" w:rsidRDefault="0096143B" w:rsidP="0096143B">
      <w:pPr>
        <w:spacing w:line="480" w:lineRule="auto"/>
        <w:jc w:val="center"/>
        <w:rPr>
          <w:b/>
          <w:u w:val="single"/>
        </w:rPr>
      </w:pPr>
    </w:p>
    <w:p w:rsidR="00202215" w:rsidRDefault="00202215" w:rsidP="0096143B">
      <w:pPr>
        <w:spacing w:line="480" w:lineRule="auto"/>
        <w:jc w:val="center"/>
        <w:rPr>
          <w:b/>
          <w:u w:val="single"/>
        </w:rPr>
      </w:pPr>
    </w:p>
    <w:p w:rsidR="00202215" w:rsidRDefault="00202215" w:rsidP="0096143B">
      <w:pPr>
        <w:spacing w:line="480" w:lineRule="auto"/>
        <w:jc w:val="center"/>
        <w:rPr>
          <w:b/>
          <w:u w:val="single"/>
        </w:rPr>
      </w:pPr>
    </w:p>
    <w:p w:rsidR="00202215" w:rsidRDefault="00202215" w:rsidP="0096143B">
      <w:pPr>
        <w:spacing w:line="480" w:lineRule="auto"/>
        <w:jc w:val="center"/>
        <w:rPr>
          <w:b/>
          <w:u w:val="single"/>
        </w:rPr>
      </w:pPr>
    </w:p>
    <w:p w:rsidR="0096143B" w:rsidRDefault="0096143B" w:rsidP="0096143B">
      <w:pPr>
        <w:spacing w:line="480" w:lineRule="auto"/>
        <w:jc w:val="center"/>
        <w:rPr>
          <w:b/>
          <w:u w:val="single"/>
        </w:rPr>
      </w:pPr>
    </w:p>
    <w:p w:rsidR="0096143B" w:rsidRDefault="0096143B" w:rsidP="0096143B">
      <w:pPr>
        <w:spacing w:line="480" w:lineRule="auto"/>
        <w:jc w:val="center"/>
        <w:rPr>
          <w:b/>
          <w:u w:val="single"/>
        </w:rPr>
      </w:pPr>
    </w:p>
    <w:p w:rsidR="0096143B" w:rsidRDefault="0096143B" w:rsidP="0096143B">
      <w:pPr>
        <w:spacing w:line="480" w:lineRule="auto"/>
        <w:jc w:val="center"/>
        <w:rPr>
          <w:b/>
          <w:u w:val="single"/>
        </w:rPr>
      </w:pPr>
    </w:p>
    <w:p w:rsidR="0096143B" w:rsidRDefault="00202215" w:rsidP="0096143B">
      <w:pPr>
        <w:spacing w:line="480" w:lineRule="auto"/>
        <w:jc w:val="center"/>
      </w:pPr>
      <w:r>
        <w:t>Cierra St. Hubert-Upshaw</w:t>
      </w:r>
    </w:p>
    <w:p w:rsidR="0096143B" w:rsidRDefault="0096143B" w:rsidP="0096143B">
      <w:pPr>
        <w:spacing w:line="480" w:lineRule="auto"/>
        <w:jc w:val="center"/>
      </w:pPr>
      <w:r>
        <w:t>Consultation Triage &amp; Testimony in Forensic Psych</w:t>
      </w:r>
    </w:p>
    <w:p w:rsidR="0096143B" w:rsidRDefault="00202215" w:rsidP="0096143B">
      <w:pPr>
        <w:jc w:val="center"/>
      </w:pPr>
      <w:r>
        <w:t>June 12, 2017</w:t>
      </w:r>
    </w:p>
    <w:p w:rsidR="00202215" w:rsidRDefault="00202215" w:rsidP="0096143B">
      <w:pPr>
        <w:jc w:val="center"/>
      </w:pPr>
    </w:p>
    <w:p w:rsidR="00202215" w:rsidRDefault="00202215" w:rsidP="0096143B">
      <w:pPr>
        <w:jc w:val="center"/>
      </w:pPr>
    </w:p>
    <w:p w:rsidR="00202215" w:rsidRDefault="00202215" w:rsidP="0096143B">
      <w:pPr>
        <w:jc w:val="center"/>
      </w:pPr>
    </w:p>
    <w:p w:rsidR="00202215" w:rsidRDefault="00202215" w:rsidP="0096143B">
      <w:pPr>
        <w:jc w:val="center"/>
        <w:rPr>
          <w:b/>
          <w:u w:val="single"/>
        </w:rPr>
      </w:pPr>
    </w:p>
    <w:p w:rsidR="0096143B" w:rsidRDefault="0096143B" w:rsidP="0096143B">
      <w:pPr>
        <w:jc w:val="center"/>
        <w:rPr>
          <w:b/>
          <w:u w:val="single"/>
        </w:rPr>
      </w:pPr>
    </w:p>
    <w:p w:rsidR="0096143B" w:rsidRDefault="0096143B" w:rsidP="0096143B">
      <w:pPr>
        <w:jc w:val="center"/>
        <w:rPr>
          <w:b/>
          <w:u w:val="single"/>
        </w:rPr>
      </w:pPr>
    </w:p>
    <w:p w:rsidR="0096143B" w:rsidRDefault="0096143B" w:rsidP="0096143B">
      <w:pPr>
        <w:jc w:val="center"/>
        <w:rPr>
          <w:b/>
          <w:u w:val="single"/>
        </w:rPr>
      </w:pPr>
    </w:p>
    <w:p w:rsidR="0096143B" w:rsidRDefault="0096143B" w:rsidP="0096143B">
      <w:pPr>
        <w:jc w:val="center"/>
        <w:rPr>
          <w:b/>
          <w:u w:val="single"/>
        </w:rPr>
      </w:pPr>
    </w:p>
    <w:p w:rsidR="0096143B" w:rsidRDefault="0096143B" w:rsidP="0096143B">
      <w:pPr>
        <w:jc w:val="center"/>
        <w:rPr>
          <w:b/>
          <w:u w:val="single"/>
        </w:rPr>
      </w:pPr>
    </w:p>
    <w:p w:rsidR="0096143B" w:rsidRDefault="0096143B" w:rsidP="0096143B">
      <w:pPr>
        <w:jc w:val="center"/>
        <w:rPr>
          <w:b/>
          <w:u w:val="single"/>
        </w:rPr>
      </w:pPr>
    </w:p>
    <w:p w:rsidR="00091517" w:rsidRDefault="00202215" w:rsidP="00F91BF2">
      <w:pPr>
        <w:autoSpaceDE w:val="0"/>
        <w:autoSpaceDN w:val="0"/>
        <w:adjustRightInd w:val="0"/>
        <w:spacing w:after="0" w:line="480" w:lineRule="auto"/>
        <w:ind w:firstLine="720"/>
      </w:pPr>
      <w:r w:rsidRPr="00202215">
        <w:lastRenderedPageBreak/>
        <w:t xml:space="preserve">The principal </w:t>
      </w:r>
      <w:r>
        <w:t>concern</w:t>
      </w:r>
      <w:r w:rsidRPr="00202215">
        <w:t xml:space="preserve"> in juvenile court is to effort to rehabilitate the juvenile.</w:t>
      </w:r>
      <w:r>
        <w:t xml:space="preserve"> </w:t>
      </w:r>
      <w:r w:rsidR="00E840C3">
        <w:t xml:space="preserve">A forensic psychologist has many roles in the court just like a clinician; such as performing evaluations; consulting; determining risk; determining willingness to possible treatment and treatment plan.   </w:t>
      </w:r>
      <w:r w:rsidRPr="00202215">
        <w:t xml:space="preserve"> </w:t>
      </w:r>
      <w:r w:rsidR="00E840C3">
        <w:t xml:space="preserve">Juveniles are an important focus in the court system. </w:t>
      </w:r>
      <w:r w:rsidR="002F78C5">
        <w:t>An example of an evaluation used in Juvenile Court is determining if the juvenile will be tried as an Adult or child. It can happen in family court, juvenile court, or adult court. For it to remain in the lower court, the case must remain being tried as a juvenile court. If not, they can be tried as an adult in a different court system. This is determined by the crime(s) committed</w:t>
      </w:r>
      <w:r w:rsidR="00ED33AE">
        <w:t xml:space="preserve"> and risk of dangerousness for the community,</w:t>
      </w:r>
      <w:r w:rsidR="002F78C5">
        <w:t xml:space="preserve"> t</w:t>
      </w:r>
      <w:r w:rsidR="00ED33AE">
        <w:t xml:space="preserve">he age/maturity at the time of the crime, and amenability to treatment. </w:t>
      </w:r>
      <w:r w:rsidR="002F78C5">
        <w:t xml:space="preserve"> Serious crimes tha</w:t>
      </w:r>
      <w:r w:rsidR="00424AAC">
        <w:t xml:space="preserve">t require stricter punishment will be heard in adult court. </w:t>
      </w:r>
      <w:r w:rsidR="00091517">
        <w:t>By nature, Juveniles are risk takers, self-centered and impulsive. They live for the thrill not thinking of the consequences. Based on these reasons, mental illness is typically not diagnosed till the age of 18</w:t>
      </w:r>
      <w:r w:rsidR="00960EE1">
        <w:t>. Even at 25 they still have not processed maturity as a typical adult would have.</w:t>
      </w:r>
    </w:p>
    <w:p w:rsidR="002F78C5" w:rsidRDefault="002F78C5" w:rsidP="00202215">
      <w:pPr>
        <w:autoSpaceDE w:val="0"/>
        <w:autoSpaceDN w:val="0"/>
        <w:adjustRightInd w:val="0"/>
        <w:spacing w:after="0" w:line="480" w:lineRule="auto"/>
      </w:pPr>
    </w:p>
    <w:p w:rsidR="002262C3" w:rsidRDefault="0064625D" w:rsidP="002262C3">
      <w:pPr>
        <w:autoSpaceDE w:val="0"/>
        <w:autoSpaceDN w:val="0"/>
        <w:adjustRightInd w:val="0"/>
        <w:spacing w:after="0" w:line="480" w:lineRule="auto"/>
        <w:ind w:firstLine="720"/>
      </w:pPr>
      <w:r>
        <w:t>Per</w:t>
      </w:r>
      <w:r w:rsidR="002262C3">
        <w:t xml:space="preserve"> the Argosy University Online (AUO) (2016) juvenile evaluations are </w:t>
      </w:r>
      <w:r>
        <w:t>used in the courts to inform on the “</w:t>
      </w:r>
      <w:r w:rsidR="002262C3">
        <w:t xml:space="preserve">juvenile’s competency and treatment needs and aiding the courts in adjudication decisions” (para. 1). </w:t>
      </w:r>
      <w:r>
        <w:t>This helps in determining what the course of action for Juveniles need to be. For a juvenile, this is beneficial because in Criminal courts the main purpose is to punish. In the forensic evaluation, they review any previous/pending charges, school history, and history pertaining to family, education and mental. H</w:t>
      </w:r>
      <w:r w:rsidR="00D0051B">
        <w:t>istory</w:t>
      </w:r>
      <w:r>
        <w:t xml:space="preserve"> (Franklin, 2011, para. 1).</w:t>
      </w:r>
    </w:p>
    <w:p w:rsidR="00E405E5" w:rsidRDefault="0064625D" w:rsidP="0064625D">
      <w:pPr>
        <w:autoSpaceDE w:val="0"/>
        <w:autoSpaceDN w:val="0"/>
        <w:adjustRightInd w:val="0"/>
        <w:spacing w:after="0" w:line="480" w:lineRule="auto"/>
        <w:ind w:firstLine="720"/>
      </w:pPr>
      <w:r>
        <w:t xml:space="preserve">Forensic psychologists are experienced in dealing with areas of mental and legal questions. They </w:t>
      </w:r>
      <w:r w:rsidR="00885EEC">
        <w:t>provide</w:t>
      </w:r>
      <w:r>
        <w:t xml:space="preserve"> reports to the court that help make decisions on the behalf of the </w:t>
      </w:r>
      <w:r>
        <w:lastRenderedPageBreak/>
        <w:t xml:space="preserve">juvenile </w:t>
      </w:r>
      <w:r w:rsidR="00D0051B">
        <w:t xml:space="preserve">(Kavanaugh, </w:t>
      </w:r>
      <w:r w:rsidR="00884AD3">
        <w:t xml:space="preserve">Clark, Masson &amp; Kahn, 2006, 890). </w:t>
      </w:r>
      <w:r>
        <w:t xml:space="preserve"> To testify in court they must </w:t>
      </w:r>
      <w:r w:rsidR="00885EEC">
        <w:t xml:space="preserve">provide knowledge on the correlation between emotional and psychological issues.  Forensic Psychologists first point is to aid in the court by presenting facts. They also work with lawyers to advocate on behalf of the client. </w:t>
      </w:r>
    </w:p>
    <w:p w:rsidR="0096143B" w:rsidRPr="0096143B" w:rsidRDefault="0096143B" w:rsidP="0096143B">
      <w:pPr>
        <w:spacing w:line="480" w:lineRule="auto"/>
        <w:jc w:val="center"/>
      </w:pPr>
      <w:bookmarkStart w:id="0" w:name="_GoBack"/>
      <w:bookmarkEnd w:id="0"/>
      <w:r w:rsidRPr="0096143B">
        <w:t>References</w:t>
      </w:r>
    </w:p>
    <w:p w:rsidR="0096143B" w:rsidRDefault="0096143B" w:rsidP="0096143B">
      <w:pPr>
        <w:spacing w:after="0" w:line="480" w:lineRule="auto"/>
        <w:rPr>
          <w:szCs w:val="24"/>
          <w:shd w:val="clear" w:color="auto" w:fill="FFFFFF"/>
        </w:rPr>
      </w:pPr>
      <w:r w:rsidRPr="00440C36">
        <w:rPr>
          <w:szCs w:val="24"/>
          <w:shd w:val="clear" w:color="auto" w:fill="FFFFFF"/>
        </w:rPr>
        <w:t>Forensic evaluation of juveniles. (2000).</w:t>
      </w:r>
      <w:r w:rsidRPr="00440C36">
        <w:rPr>
          <w:rStyle w:val="apple-converted-space"/>
          <w:szCs w:val="24"/>
          <w:shd w:val="clear" w:color="auto" w:fill="FFFFFF"/>
        </w:rPr>
        <w:t> </w:t>
      </w:r>
      <w:r w:rsidRPr="00440C36">
        <w:rPr>
          <w:i/>
          <w:iCs/>
          <w:szCs w:val="24"/>
          <w:shd w:val="clear" w:color="auto" w:fill="FFFFFF"/>
        </w:rPr>
        <w:t>Adolescence,</w:t>
      </w:r>
      <w:r w:rsidRPr="00440C36">
        <w:rPr>
          <w:rStyle w:val="apple-converted-space"/>
          <w:i/>
          <w:iCs/>
          <w:szCs w:val="24"/>
          <w:shd w:val="clear" w:color="auto" w:fill="FFFFFF"/>
        </w:rPr>
        <w:t> </w:t>
      </w:r>
      <w:r w:rsidRPr="00440C36">
        <w:rPr>
          <w:i/>
          <w:iCs/>
          <w:szCs w:val="24"/>
          <w:shd w:val="clear" w:color="auto" w:fill="FFFFFF"/>
        </w:rPr>
        <w:t>35</w:t>
      </w:r>
      <w:r w:rsidRPr="00440C36">
        <w:rPr>
          <w:szCs w:val="24"/>
          <w:shd w:val="clear" w:color="auto" w:fill="FFFFFF"/>
        </w:rPr>
        <w:t xml:space="preserve">(138), 421. Retrieved </w:t>
      </w:r>
    </w:p>
    <w:p w:rsidR="0096143B" w:rsidRDefault="0096143B" w:rsidP="0096143B">
      <w:pPr>
        <w:spacing w:after="0" w:line="480" w:lineRule="auto"/>
        <w:ind w:firstLine="720"/>
        <w:rPr>
          <w:szCs w:val="24"/>
          <w:shd w:val="clear" w:color="auto" w:fill="FFFFFF"/>
        </w:rPr>
      </w:pPr>
      <w:r w:rsidRPr="00440C36">
        <w:rPr>
          <w:szCs w:val="24"/>
          <w:shd w:val="clear" w:color="auto" w:fill="FFFFFF"/>
        </w:rPr>
        <w:t xml:space="preserve">from </w:t>
      </w:r>
      <w:r w:rsidRPr="00375EB3">
        <w:rPr>
          <w:szCs w:val="24"/>
          <w:shd w:val="clear" w:color="auto" w:fill="FFFFFF"/>
        </w:rPr>
        <w:t>http://search.proquest.com/docview/195931692?accountid=34899</w:t>
      </w:r>
    </w:p>
    <w:p w:rsidR="0096143B" w:rsidRDefault="00375EB3" w:rsidP="0096143B">
      <w:pPr>
        <w:spacing w:after="0" w:line="480" w:lineRule="auto"/>
      </w:pPr>
      <w:r>
        <w:t>Franklin, D. (1999</w:t>
      </w:r>
      <w:r w:rsidR="0096143B">
        <w:t xml:space="preserve">). </w:t>
      </w:r>
      <w:r w:rsidRPr="00375EB3">
        <w:rPr>
          <w:i/>
        </w:rPr>
        <w:t>Forensic psychology - criminal court</w:t>
      </w:r>
      <w:r w:rsidR="0096143B">
        <w:t xml:space="preserve">. Retrieved </w:t>
      </w:r>
    </w:p>
    <w:p w:rsidR="0096143B" w:rsidRDefault="0096143B" w:rsidP="0096143B">
      <w:pPr>
        <w:spacing w:after="0" w:line="480" w:lineRule="auto"/>
        <w:ind w:firstLine="720"/>
      </w:pPr>
      <w:r>
        <w:t xml:space="preserve">from </w:t>
      </w:r>
      <w:r w:rsidRPr="00375EB3">
        <w:t>http://psychologyinfo.com/forensic/juvenile_evaluations.html</w:t>
      </w:r>
    </w:p>
    <w:p w:rsidR="00375EB3" w:rsidRDefault="003B04D0" w:rsidP="00375EB3">
      <w:pPr>
        <w:spacing w:after="0" w:line="480" w:lineRule="auto"/>
        <w:ind w:left="720" w:hanging="720"/>
        <w:rPr>
          <w:rFonts w:ascii="Thorndale for VST" w:hAnsi="Thorndale for VST" w:cs="Thorndale for VST"/>
          <w:szCs w:val="24"/>
        </w:rPr>
      </w:pPr>
      <w:r>
        <w:rPr>
          <w:rFonts w:ascii="Thorndale for VST" w:hAnsi="Thorndale for VST" w:cs="Thorndale for VST"/>
          <w:szCs w:val="24"/>
        </w:rPr>
        <w:t xml:space="preserve">Goldstein, A. </w:t>
      </w:r>
      <w:r w:rsidR="00375EB3">
        <w:rPr>
          <w:rFonts w:ascii="Thorndale for VST" w:hAnsi="Thorndale for VST" w:cs="Thorndale for VST"/>
          <w:szCs w:val="24"/>
        </w:rPr>
        <w:t>M. (</w:t>
      </w:r>
      <w:r w:rsidR="00375EB3" w:rsidRPr="00375EB3">
        <w:rPr>
          <w:rFonts w:ascii="Thorndale for VST" w:hAnsi="Thorndale for VST" w:cs="Thorndale for VST"/>
          <w:szCs w:val="24"/>
        </w:rPr>
        <w:t xml:space="preserve">2006). </w:t>
      </w:r>
      <w:r w:rsidR="00375EB3" w:rsidRPr="00375EB3">
        <w:rPr>
          <w:rFonts w:ascii="Thorndale for VST" w:hAnsi="Thorndale for VST" w:cs="Thorndale for VST"/>
          <w:i/>
          <w:szCs w:val="24"/>
        </w:rPr>
        <w:t>Forensic Psychology: Emerging Topics and Expanding Roles,</w:t>
      </w:r>
      <w:r w:rsidR="00375EB3" w:rsidRPr="00375EB3">
        <w:rPr>
          <w:rFonts w:ascii="Thorndale for VST" w:hAnsi="Thorndale for VST" w:cs="Thorndale for VST"/>
          <w:szCs w:val="24"/>
        </w:rPr>
        <w:t xml:space="preserve"> 1st Edition. [VitalSource Bookshelf Online]. Retrieved from https://digitalbookshelf.argosy.edu/#/books/9780470908273/ </w:t>
      </w:r>
    </w:p>
    <w:p w:rsidR="0096143B" w:rsidRDefault="0096143B" w:rsidP="0096143B">
      <w:pPr>
        <w:spacing w:after="0" w:line="480" w:lineRule="auto"/>
        <w:rPr>
          <w:szCs w:val="24"/>
          <w:shd w:val="clear" w:color="auto" w:fill="FFFFFF"/>
        </w:rPr>
      </w:pPr>
      <w:r w:rsidRPr="00430163">
        <w:rPr>
          <w:szCs w:val="24"/>
          <w:shd w:val="clear" w:color="auto" w:fill="FFFFFF"/>
        </w:rPr>
        <w:t xml:space="preserve">Kavanaugh, A., Clark, J., Masson, T., &amp; Kahn, B. (2006). </w:t>
      </w:r>
      <w:r w:rsidR="00D0051B" w:rsidRPr="00430163">
        <w:rPr>
          <w:szCs w:val="24"/>
          <w:shd w:val="clear" w:color="auto" w:fill="FFFFFF"/>
        </w:rPr>
        <w:t xml:space="preserve">Obtaining and utilizing </w:t>
      </w:r>
    </w:p>
    <w:p w:rsidR="0096143B" w:rsidRDefault="003B04D0" w:rsidP="0096143B">
      <w:pPr>
        <w:spacing w:after="0" w:line="480" w:lineRule="auto"/>
        <w:ind w:left="720"/>
      </w:pPr>
      <w:r>
        <w:rPr>
          <w:szCs w:val="24"/>
          <w:shd w:val="clear" w:color="auto" w:fill="FFFFFF"/>
        </w:rPr>
        <w:t>c</w:t>
      </w:r>
      <w:r w:rsidR="00D0051B" w:rsidRPr="00430163">
        <w:rPr>
          <w:szCs w:val="24"/>
          <w:shd w:val="clear" w:color="auto" w:fill="FFFFFF"/>
        </w:rPr>
        <w:t>ompr</w:t>
      </w:r>
      <w:r>
        <w:rPr>
          <w:szCs w:val="24"/>
          <w:shd w:val="clear" w:color="auto" w:fill="FFFFFF"/>
        </w:rPr>
        <w:t>ehensive forensic evaluations: T</w:t>
      </w:r>
      <w:r w:rsidR="00D0051B" w:rsidRPr="00430163">
        <w:rPr>
          <w:szCs w:val="24"/>
          <w:shd w:val="clear" w:color="auto" w:fill="FFFFFF"/>
        </w:rPr>
        <w:t>he applicability of one clinic's model</w:t>
      </w:r>
      <w:r>
        <w:rPr>
          <w:szCs w:val="24"/>
          <w:shd w:val="clear" w:color="auto" w:fill="FFFFFF"/>
        </w:rPr>
        <w:t xml:space="preserve">. </w:t>
      </w:r>
      <w:r w:rsidRPr="003B04D0">
        <w:rPr>
          <w:i/>
          <w:szCs w:val="24"/>
          <w:shd w:val="clear" w:color="auto" w:fill="FFFFFF"/>
        </w:rPr>
        <w:t>Nevada Law Journal</w:t>
      </w:r>
      <w:r w:rsidR="0096143B" w:rsidRPr="003B04D0">
        <w:rPr>
          <w:i/>
          <w:szCs w:val="24"/>
          <w:shd w:val="clear" w:color="auto" w:fill="FFFFFF"/>
        </w:rPr>
        <w:t>.</w:t>
      </w:r>
      <w:r>
        <w:rPr>
          <w:szCs w:val="24"/>
          <w:shd w:val="clear" w:color="auto" w:fill="FFFFFF"/>
        </w:rPr>
        <w:t xml:space="preserve"> </w:t>
      </w:r>
      <w:r w:rsidR="0096143B" w:rsidRPr="003B04D0">
        <w:rPr>
          <w:iCs/>
          <w:szCs w:val="24"/>
          <w:shd w:val="clear" w:color="auto" w:fill="FFFFFF"/>
        </w:rPr>
        <w:t>6</w:t>
      </w:r>
      <w:r w:rsidR="0096143B" w:rsidRPr="00430163">
        <w:rPr>
          <w:szCs w:val="24"/>
          <w:shd w:val="clear" w:color="auto" w:fill="FFFFFF"/>
        </w:rPr>
        <w:t xml:space="preserve">(890), 890-912. Retrieved </w:t>
      </w:r>
      <w:r w:rsidR="0096143B">
        <w:rPr>
          <w:szCs w:val="24"/>
          <w:shd w:val="clear" w:color="auto" w:fill="FFFFFF"/>
        </w:rPr>
        <w:t>from</w:t>
      </w:r>
      <w:r w:rsidR="0096143B" w:rsidRPr="00430163">
        <w:rPr>
          <w:rFonts w:ascii="Arial" w:hAnsi="Arial" w:cs="Arial"/>
          <w:sz w:val="21"/>
          <w:szCs w:val="21"/>
          <w:shd w:val="clear" w:color="auto" w:fill="FFFFFF"/>
        </w:rPr>
        <w:t xml:space="preserve"> </w:t>
      </w:r>
      <w:r w:rsidR="0096143B" w:rsidRPr="003B04D0">
        <w:t>http://scholars.law.unlv.edu/cgi/viewcontent.cgi?article=1390&amp;context=nlj</w:t>
      </w:r>
    </w:p>
    <w:p w:rsidR="0096143B" w:rsidRDefault="0096143B" w:rsidP="0096143B">
      <w:pPr>
        <w:spacing w:after="0" w:line="480" w:lineRule="auto"/>
        <w:rPr>
          <w:szCs w:val="24"/>
          <w:shd w:val="clear" w:color="auto" w:fill="FFFFFF"/>
        </w:rPr>
      </w:pPr>
    </w:p>
    <w:p w:rsidR="0096143B" w:rsidRPr="00430163" w:rsidRDefault="0096143B" w:rsidP="0096143B">
      <w:pPr>
        <w:spacing w:after="0" w:line="480" w:lineRule="auto"/>
        <w:rPr>
          <w:szCs w:val="24"/>
          <w:shd w:val="clear" w:color="auto" w:fill="FFFFFF"/>
        </w:rPr>
      </w:pPr>
    </w:p>
    <w:p w:rsidR="00730234" w:rsidRDefault="008F7271" w:rsidP="0096143B">
      <w:pPr>
        <w:spacing w:line="480" w:lineRule="auto"/>
      </w:pPr>
    </w:p>
    <w:sectPr w:rsidR="00730234" w:rsidSect="0096143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271" w:rsidRDefault="008F7271" w:rsidP="0096143B">
      <w:pPr>
        <w:spacing w:after="0" w:line="240" w:lineRule="auto"/>
      </w:pPr>
      <w:r>
        <w:separator/>
      </w:r>
    </w:p>
  </w:endnote>
  <w:endnote w:type="continuationSeparator" w:id="0">
    <w:p w:rsidR="008F7271" w:rsidRDefault="008F7271" w:rsidP="0096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for VST">
    <w:altName w:val="Times New Roman"/>
    <w:charset w:val="00"/>
    <w:family w:val="roman"/>
    <w:pitch w:val="variable"/>
    <w:sig w:usb0="00000287" w:usb1="000004E8"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271" w:rsidRDefault="008F7271" w:rsidP="0096143B">
      <w:pPr>
        <w:spacing w:after="0" w:line="240" w:lineRule="auto"/>
      </w:pPr>
      <w:r>
        <w:separator/>
      </w:r>
    </w:p>
  </w:footnote>
  <w:footnote w:type="continuationSeparator" w:id="0">
    <w:p w:rsidR="008F7271" w:rsidRDefault="008F7271" w:rsidP="00961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43B" w:rsidRDefault="0096143B" w:rsidP="0096143B">
    <w:pPr>
      <w:pStyle w:val="Header"/>
      <w:jc w:val="center"/>
    </w:pPr>
    <w:r>
      <w:t>JUVENILE COURT</w:t>
    </w:r>
    <w:r>
      <w:tab/>
    </w:r>
    <w:r>
      <w:tab/>
    </w:r>
    <w:sdt>
      <w:sdtPr>
        <w:id w:val="-6848290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5EEC">
          <w:rPr>
            <w:noProof/>
          </w:rPr>
          <w:t>3</w:t>
        </w:r>
        <w:r>
          <w:rPr>
            <w:noProof/>
          </w:rPr>
          <w:fldChar w:fldCharType="end"/>
        </w:r>
      </w:sdtContent>
    </w:sdt>
  </w:p>
  <w:p w:rsidR="0096143B" w:rsidRDefault="00961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43B" w:rsidRDefault="0096143B">
    <w:pPr>
      <w:pStyle w:val="Header"/>
      <w:jc w:val="right"/>
    </w:pPr>
    <w:r>
      <w:t>Running Head: JUVENILE COURT</w:t>
    </w:r>
    <w:r>
      <w:tab/>
    </w:r>
    <w:r>
      <w:tab/>
    </w:r>
    <w:sdt>
      <w:sdtPr>
        <w:id w:val="-14573364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5EEC">
          <w:rPr>
            <w:noProof/>
          </w:rPr>
          <w:t>1</w:t>
        </w:r>
        <w:r>
          <w:rPr>
            <w:noProof/>
          </w:rPr>
          <w:fldChar w:fldCharType="end"/>
        </w:r>
      </w:sdtContent>
    </w:sdt>
  </w:p>
  <w:p w:rsidR="0096143B" w:rsidRDefault="00961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3B"/>
    <w:rsid w:val="000905AE"/>
    <w:rsid w:val="00091517"/>
    <w:rsid w:val="00202215"/>
    <w:rsid w:val="002262C3"/>
    <w:rsid w:val="00275000"/>
    <w:rsid w:val="002F78C5"/>
    <w:rsid w:val="003150B7"/>
    <w:rsid w:val="00375EB3"/>
    <w:rsid w:val="003B04D0"/>
    <w:rsid w:val="003B754D"/>
    <w:rsid w:val="00424AAC"/>
    <w:rsid w:val="0064625D"/>
    <w:rsid w:val="00865A5B"/>
    <w:rsid w:val="00884AD3"/>
    <w:rsid w:val="00885EEC"/>
    <w:rsid w:val="008F7271"/>
    <w:rsid w:val="00960EE1"/>
    <w:rsid w:val="0096143B"/>
    <w:rsid w:val="00A009C9"/>
    <w:rsid w:val="00B12FB2"/>
    <w:rsid w:val="00C17886"/>
    <w:rsid w:val="00CB24BD"/>
    <w:rsid w:val="00D0051B"/>
    <w:rsid w:val="00E405E5"/>
    <w:rsid w:val="00E840C3"/>
    <w:rsid w:val="00ED33AE"/>
    <w:rsid w:val="00F02CBC"/>
    <w:rsid w:val="00F91BF2"/>
    <w:rsid w:val="00FA0E54"/>
    <w:rsid w:val="00FD0B07"/>
    <w:rsid w:val="00FD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C25DB"/>
  <w15:chartTrackingRefBased/>
  <w15:docId w15:val="{4DB6B9FA-6414-45C7-88D9-7964CCA5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6143B"/>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43B"/>
    <w:rPr>
      <w:color w:val="0563C1" w:themeColor="hyperlink"/>
      <w:u w:val="single"/>
    </w:rPr>
  </w:style>
  <w:style w:type="character" w:customStyle="1" w:styleId="apple-converted-space">
    <w:name w:val="apple-converted-space"/>
    <w:basedOn w:val="DefaultParagraphFont"/>
    <w:rsid w:val="0096143B"/>
  </w:style>
  <w:style w:type="paragraph" w:styleId="Header">
    <w:name w:val="header"/>
    <w:basedOn w:val="Normal"/>
    <w:link w:val="HeaderChar"/>
    <w:uiPriority w:val="99"/>
    <w:unhideWhenUsed/>
    <w:rsid w:val="00961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43B"/>
    <w:rPr>
      <w:rFonts w:ascii="Times New Roman" w:hAnsi="Times New Roman" w:cs="Times New Roman"/>
      <w:sz w:val="24"/>
    </w:rPr>
  </w:style>
  <w:style w:type="paragraph" w:styleId="Footer">
    <w:name w:val="footer"/>
    <w:basedOn w:val="Normal"/>
    <w:link w:val="FooterChar"/>
    <w:uiPriority w:val="99"/>
    <w:unhideWhenUsed/>
    <w:rsid w:val="00961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43B"/>
    <w:rPr>
      <w:rFonts w:ascii="Times New Roman" w:hAnsi="Times New Roman" w:cs="Times New Roman"/>
      <w:sz w:val="24"/>
    </w:rPr>
  </w:style>
  <w:style w:type="character" w:styleId="FollowedHyperlink">
    <w:name w:val="FollowedHyperlink"/>
    <w:basedOn w:val="DefaultParagraphFont"/>
    <w:uiPriority w:val="99"/>
    <w:semiHidden/>
    <w:unhideWhenUsed/>
    <w:rsid w:val="003B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8176">
      <w:bodyDiv w:val="1"/>
      <w:marLeft w:val="0"/>
      <w:marRight w:val="0"/>
      <w:marTop w:val="0"/>
      <w:marBottom w:val="0"/>
      <w:divBdr>
        <w:top w:val="none" w:sz="0" w:space="0" w:color="auto"/>
        <w:left w:val="none" w:sz="0" w:space="0" w:color="auto"/>
        <w:bottom w:val="none" w:sz="0" w:space="0" w:color="auto"/>
        <w:right w:val="none" w:sz="0" w:space="0" w:color="auto"/>
      </w:divBdr>
      <w:divsChild>
        <w:div w:id="1924996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E08DC-002D-49A1-940E-3FDFF585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5274</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Boardley</dc:creator>
  <cp:keywords/>
  <dc:description/>
  <cp:lastModifiedBy>Cierra St. Hubert-Upshaw</cp:lastModifiedBy>
  <cp:revision>5</cp:revision>
  <dcterms:created xsi:type="dcterms:W3CDTF">2017-06-09T03:33:00Z</dcterms:created>
  <dcterms:modified xsi:type="dcterms:W3CDTF">2017-06-12T19:51:00Z</dcterms:modified>
</cp:coreProperties>
</file>