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697D7" w14:textId="77777777" w:rsidR="007F77CD" w:rsidRPr="00827E26" w:rsidRDefault="007F77CD" w:rsidP="007F77CD">
      <w:pPr>
        <w:spacing w:before="180" w:after="180" w:line="384" w:lineRule="atLeast"/>
        <w:rPr>
          <w:rFonts w:ascii="LatoWeb" w:eastAsia="Times New Roman" w:hAnsi="LatoWeb" w:cs="Helvetica"/>
          <w:b/>
          <w:color w:val="2D3B45"/>
          <w:sz w:val="21"/>
          <w:szCs w:val="21"/>
          <w:lang w:val="en"/>
        </w:rPr>
      </w:pPr>
      <w:r w:rsidRPr="00827E26">
        <w:rPr>
          <w:rFonts w:ascii="LatoWeb" w:eastAsia="Times New Roman" w:hAnsi="LatoWeb" w:cs="Helvetica"/>
          <w:b/>
          <w:color w:val="2D3B45"/>
          <w:sz w:val="21"/>
          <w:szCs w:val="21"/>
          <w:lang w:val="en"/>
        </w:rPr>
        <w:t>Investigate the policies that im</w:t>
      </w:r>
      <w:bookmarkStart w:id="0" w:name="_GoBack"/>
      <w:bookmarkEnd w:id="0"/>
      <w:r w:rsidRPr="00827E26">
        <w:rPr>
          <w:rFonts w:ascii="LatoWeb" w:eastAsia="Times New Roman" w:hAnsi="LatoWeb" w:cs="Helvetica"/>
          <w:b/>
          <w:color w:val="2D3B45"/>
          <w:sz w:val="21"/>
          <w:szCs w:val="21"/>
          <w:lang w:val="en"/>
        </w:rPr>
        <w:t>pact access to healthcare providers in your state and describe what policies will maintain, support or frustrate the provider (APRN)-patient relationship as you enter the primary care arena. </w:t>
      </w:r>
    </w:p>
    <w:p w14:paraId="600BF915" w14:textId="77777777" w:rsidR="007F77CD" w:rsidRPr="00827E26" w:rsidRDefault="007F77CD" w:rsidP="007F77CD">
      <w:pPr>
        <w:numPr>
          <w:ilvl w:val="0"/>
          <w:numId w:val="1"/>
        </w:numPr>
        <w:spacing w:before="100" w:beforeAutospacing="1" w:after="100" w:afterAutospacing="1" w:line="384" w:lineRule="atLeast"/>
        <w:ind w:left="375"/>
        <w:rPr>
          <w:rFonts w:ascii="LatoWeb" w:eastAsia="Times New Roman" w:hAnsi="LatoWeb" w:cs="Helvetica"/>
          <w:b/>
          <w:color w:val="2D3B45"/>
          <w:sz w:val="21"/>
          <w:szCs w:val="21"/>
          <w:lang w:val="en"/>
        </w:rPr>
      </w:pPr>
      <w:r w:rsidRPr="00827E26">
        <w:rPr>
          <w:rFonts w:ascii="LatoWeb" w:eastAsia="Times New Roman" w:hAnsi="LatoWeb" w:cs="Helvetica"/>
          <w:b/>
          <w:color w:val="2D3B45"/>
          <w:sz w:val="21"/>
          <w:szCs w:val="21"/>
          <w:lang w:val="en"/>
        </w:rPr>
        <w:t>Be specific citing national/local policies that impact the provider (APRN)-patient relationship</w:t>
      </w:r>
    </w:p>
    <w:p w14:paraId="465F7CA3" w14:textId="77777777" w:rsidR="007F77CD" w:rsidRPr="00827E26" w:rsidRDefault="007F77CD" w:rsidP="007F77CD">
      <w:pPr>
        <w:rPr>
          <w:b/>
        </w:rPr>
      </w:pPr>
    </w:p>
    <w:p w14:paraId="583D432B" w14:textId="77777777" w:rsidR="00827E26" w:rsidRDefault="007F77CD" w:rsidP="007F77CD">
      <w:pPr>
        <w:rPr>
          <w:rFonts w:ascii="Open Sans" w:hAnsi="Open Sans"/>
          <w:color w:val="383435"/>
          <w:sz w:val="20"/>
          <w:szCs w:val="20"/>
        </w:rPr>
      </w:pPr>
      <w:r>
        <w:t>The subject of policies that impact access to healthcare providers in my state is very familiar, and how it i</w:t>
      </w:r>
      <w:r w:rsidR="00C71078">
        <w:t xml:space="preserve">mpacts the provider (APRN)-patient </w:t>
      </w:r>
      <w:r w:rsidR="00827E26">
        <w:t xml:space="preserve">relationship.  </w:t>
      </w:r>
      <w:r w:rsidR="0084614D">
        <w:t xml:space="preserve">In </w:t>
      </w:r>
      <w:r w:rsidR="00D72EF3">
        <w:t>2014, the</w:t>
      </w:r>
      <w:r w:rsidR="000B38EA">
        <w:t xml:space="preserve"> commonwealth of Massachusetts came with what is known as the 244 CMR </w:t>
      </w:r>
      <w:r w:rsidR="00827E26">
        <w:t>4.00.</w:t>
      </w:r>
      <w:r w:rsidR="000B38EA">
        <w:rPr>
          <w:rFonts w:ascii="Open Sans" w:hAnsi="Open Sans"/>
          <w:color w:val="383435"/>
          <w:sz w:val="20"/>
          <w:szCs w:val="20"/>
        </w:rPr>
        <w:t xml:space="preserve"> </w:t>
      </w:r>
      <w:r w:rsidR="00827E26">
        <w:rPr>
          <w:rFonts w:ascii="Open Sans" w:hAnsi="Open Sans"/>
          <w:color w:val="383435"/>
          <w:sz w:val="20"/>
          <w:szCs w:val="20"/>
        </w:rPr>
        <w:t xml:space="preserve"> a regulation with a more limited physician supervision regarding NPs scope of practice </w:t>
      </w:r>
      <w:proofErr w:type="gramStart"/>
      <w:r w:rsidR="00827E26">
        <w:rPr>
          <w:rFonts w:ascii="Open Sans" w:hAnsi="Open Sans"/>
          <w:color w:val="383435"/>
          <w:sz w:val="20"/>
          <w:szCs w:val="20"/>
        </w:rPr>
        <w:t>in  reference</w:t>
      </w:r>
      <w:proofErr w:type="gramEnd"/>
      <w:r w:rsidR="00827E26">
        <w:rPr>
          <w:rFonts w:ascii="Open Sans" w:hAnsi="Open Sans"/>
          <w:color w:val="383435"/>
          <w:sz w:val="20"/>
          <w:szCs w:val="20"/>
        </w:rPr>
        <w:t xml:space="preserve"> to prescriptive privileges. The old regulation required NP entire practice to be under a supervision physician. In this updated </w:t>
      </w:r>
      <w:proofErr w:type="gramStart"/>
      <w:r w:rsidR="00827E26">
        <w:rPr>
          <w:rFonts w:ascii="Open Sans" w:hAnsi="Open Sans"/>
          <w:color w:val="383435"/>
          <w:sz w:val="20"/>
          <w:szCs w:val="20"/>
        </w:rPr>
        <w:t>mandate,  the</w:t>
      </w:r>
      <w:proofErr w:type="gramEnd"/>
      <w:r w:rsidR="00827E26">
        <w:rPr>
          <w:rFonts w:ascii="Open Sans" w:hAnsi="Open Sans"/>
          <w:color w:val="383435"/>
          <w:sz w:val="20"/>
          <w:szCs w:val="20"/>
        </w:rPr>
        <w:t xml:space="preserve"> routine review of prescriptive practice was changed from three months to “A define mechanism and time frame to monitor prescriptive practice (244 CMR 4.07)</w:t>
      </w:r>
    </w:p>
    <w:p w14:paraId="4146AD2D" w14:textId="77777777" w:rsidR="00827E26" w:rsidRDefault="00827E26" w:rsidP="007F77CD">
      <w:pPr>
        <w:rPr>
          <w:rFonts w:ascii="Open Sans" w:hAnsi="Open Sans"/>
          <w:color w:val="383435"/>
          <w:sz w:val="20"/>
          <w:szCs w:val="20"/>
        </w:rPr>
      </w:pPr>
    </w:p>
    <w:p w14:paraId="4F6E680B" w14:textId="77777777" w:rsidR="007F77CD" w:rsidRPr="007F77CD" w:rsidRDefault="00827E26" w:rsidP="00827E26">
      <w:r>
        <w:rPr>
          <w:rFonts w:ascii="Open Sans" w:hAnsi="Open Sans"/>
          <w:color w:val="383435"/>
          <w:sz w:val="20"/>
          <w:szCs w:val="20"/>
        </w:rPr>
        <w:t xml:space="preserve"> </w:t>
      </w:r>
    </w:p>
    <w:p w14:paraId="599A5FE3" w14:textId="77777777" w:rsidR="0087408B" w:rsidRDefault="0087408B"/>
    <w:sectPr w:rsidR="00874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Web">
    <w:altName w:val="Segoe U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0F89"/>
    <w:multiLevelType w:val="multilevel"/>
    <w:tmpl w:val="690E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CD"/>
    <w:rsid w:val="000B38EA"/>
    <w:rsid w:val="00225AAC"/>
    <w:rsid w:val="00667AC1"/>
    <w:rsid w:val="007B61CE"/>
    <w:rsid w:val="007F77CD"/>
    <w:rsid w:val="00827E26"/>
    <w:rsid w:val="0084614D"/>
    <w:rsid w:val="0087408B"/>
    <w:rsid w:val="00AB2F65"/>
    <w:rsid w:val="00C23C84"/>
    <w:rsid w:val="00C71078"/>
    <w:rsid w:val="00D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E438"/>
  <w15:chartTrackingRefBased/>
  <w15:docId w15:val="{9BEF3969-2DF8-4BF4-8800-DD65664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7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4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Clerville, Joel</dc:creator>
  <cp:keywords/>
  <dc:description/>
  <cp:lastModifiedBy>Clerville, Joel</cp:lastModifiedBy>
  <cp:revision>2</cp:revision>
  <dcterms:created xsi:type="dcterms:W3CDTF">2017-06-02T14:47:00Z</dcterms:created>
  <dcterms:modified xsi:type="dcterms:W3CDTF">2017-06-02T14:47:00Z</dcterms:modified>
</cp:coreProperties>
</file>