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892D1" w14:textId="77777777" w:rsidR="005F056C" w:rsidRDefault="005F056C" w:rsidP="005F056C">
      <w:pPr>
        <w:widowControl w:val="0"/>
        <w:autoSpaceDE w:val="0"/>
        <w:autoSpaceDN w:val="0"/>
        <w:adjustRightInd w:val="0"/>
        <w:rPr>
          <w:rFonts w:ascii="Trebuchet MS" w:hAnsi="Trebuchet MS" w:cs="Trebuchet MS"/>
          <w:color w:val="434343"/>
          <w:sz w:val="26"/>
          <w:szCs w:val="26"/>
          <w:lang w:eastAsia="ja-JP"/>
        </w:rPr>
      </w:pPr>
      <w:r>
        <w:rPr>
          <w:rFonts w:ascii="Trebuchet MS" w:hAnsi="Trebuchet MS" w:cs="Trebuchet MS"/>
          <w:color w:val="434343"/>
          <w:sz w:val="26"/>
          <w:szCs w:val="26"/>
          <w:lang w:eastAsia="ja-JP"/>
        </w:rPr>
        <w:t>Create a table differentiating the Adult-Gerontology Acute Care Nurse Practitioner and Adult-Gerontology Primary Care Nurse Practitioner competencies.</w:t>
      </w:r>
    </w:p>
    <w:p w14:paraId="21551493" w14:textId="77777777" w:rsidR="005F056C" w:rsidRDefault="005F056C" w:rsidP="005F056C">
      <w:pPr>
        <w:widowControl w:val="0"/>
        <w:autoSpaceDE w:val="0"/>
        <w:autoSpaceDN w:val="0"/>
        <w:adjustRightInd w:val="0"/>
        <w:rPr>
          <w:rFonts w:ascii="Trebuchet MS" w:hAnsi="Trebuchet MS" w:cs="Trebuchet MS"/>
          <w:color w:val="434343"/>
          <w:sz w:val="26"/>
          <w:szCs w:val="26"/>
          <w:lang w:eastAsia="ja-JP"/>
        </w:rPr>
      </w:pPr>
      <w:r>
        <w:rPr>
          <w:rFonts w:ascii="Trebuchet MS" w:hAnsi="Trebuchet MS" w:cs="Trebuchet MS"/>
          <w:color w:val="434343"/>
          <w:sz w:val="26"/>
          <w:szCs w:val="26"/>
          <w:lang w:eastAsia="ja-JP"/>
        </w:rPr>
        <w:t>In a 750-1</w:t>
      </w:r>
      <w:proofErr w:type="gramStart"/>
      <w:r>
        <w:rPr>
          <w:rFonts w:ascii="Trebuchet MS" w:hAnsi="Trebuchet MS" w:cs="Trebuchet MS"/>
          <w:color w:val="434343"/>
          <w:sz w:val="26"/>
          <w:szCs w:val="26"/>
          <w:lang w:eastAsia="ja-JP"/>
        </w:rPr>
        <w:t>,000 word</w:t>
      </w:r>
      <w:proofErr w:type="gramEnd"/>
      <w:r>
        <w:rPr>
          <w:rFonts w:ascii="Trebuchet MS" w:hAnsi="Trebuchet MS" w:cs="Trebuchet MS"/>
          <w:color w:val="434343"/>
          <w:sz w:val="26"/>
          <w:szCs w:val="26"/>
          <w:lang w:eastAsia="ja-JP"/>
        </w:rPr>
        <w:t xml:space="preserve"> paper, describe how you perceive the differences between the specific competencies for the different practitioners. Address how these differences can affect practice in specific clinical areas. Provide individual examples from your own experience.</w:t>
      </w:r>
    </w:p>
    <w:p w14:paraId="58030B2A" w14:textId="77777777" w:rsidR="005F056C" w:rsidRDefault="005F056C" w:rsidP="005F056C">
      <w:pPr>
        <w:widowControl w:val="0"/>
        <w:autoSpaceDE w:val="0"/>
        <w:autoSpaceDN w:val="0"/>
        <w:adjustRightInd w:val="0"/>
        <w:rPr>
          <w:rFonts w:ascii="Trebuchet MS" w:hAnsi="Trebuchet MS" w:cs="Trebuchet MS"/>
          <w:color w:val="434343"/>
          <w:sz w:val="26"/>
          <w:szCs w:val="26"/>
          <w:lang w:eastAsia="ja-JP"/>
        </w:rPr>
      </w:pPr>
      <w:r>
        <w:rPr>
          <w:rFonts w:ascii="Trebuchet MS" w:hAnsi="Trebuchet MS" w:cs="Trebuchet MS"/>
          <w:color w:val="434343"/>
          <w:sz w:val="26"/>
          <w:szCs w:val="26"/>
          <w:lang w:eastAsia="ja-JP"/>
        </w:rPr>
        <w:t>Prepare this assignment according to the APA guidelines found in the APA Style Guide, located in the Student Success Center. An abstract is not required.</w:t>
      </w:r>
    </w:p>
    <w:p w14:paraId="07D03A34" w14:textId="77777777" w:rsidR="002B1D17" w:rsidRDefault="005F056C"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This assignment uses a rubric. Please review the rubric prior to beginning the assignment to become familiar with the expectations for successful completion.</w:t>
      </w:r>
    </w:p>
    <w:p w14:paraId="5A559E9A" w14:textId="77777777" w:rsidR="005F056C" w:rsidRDefault="005F056C" w:rsidP="005F056C">
      <w:pPr>
        <w:rPr>
          <w:rFonts w:ascii="Trebuchet MS" w:hAnsi="Trebuchet MS" w:cs="Trebuchet MS"/>
          <w:color w:val="434343"/>
          <w:sz w:val="26"/>
          <w:szCs w:val="26"/>
          <w:lang w:eastAsia="ja-JP"/>
        </w:rPr>
      </w:pPr>
    </w:p>
    <w:p w14:paraId="57153ACC" w14:textId="647D989F" w:rsidR="0097353B" w:rsidRDefault="0097353B"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Table 1: Comparison of Adult Gerontology Acute Care NP and Adult-Gerontology Primary care NP.</w:t>
      </w:r>
    </w:p>
    <w:tbl>
      <w:tblPr>
        <w:tblStyle w:val="TableGrid"/>
        <w:tblW w:w="0" w:type="auto"/>
        <w:tblLook w:val="04A0" w:firstRow="1" w:lastRow="0" w:firstColumn="1" w:lastColumn="0" w:noHBand="0" w:noVBand="1"/>
      </w:tblPr>
      <w:tblGrid>
        <w:gridCol w:w="2438"/>
        <w:gridCol w:w="3107"/>
        <w:gridCol w:w="3311"/>
      </w:tblGrid>
      <w:tr w:rsidR="002755EE" w14:paraId="5F2AF7F8" w14:textId="77777777" w:rsidTr="002755EE">
        <w:tc>
          <w:tcPr>
            <w:tcW w:w="2438" w:type="dxa"/>
          </w:tcPr>
          <w:p w14:paraId="1A7379E3" w14:textId="77777777" w:rsidR="002755EE" w:rsidRDefault="002755EE" w:rsidP="005F056C">
            <w:pPr>
              <w:rPr>
                <w:rFonts w:ascii="Trebuchet MS" w:hAnsi="Trebuchet MS" w:cs="Trebuchet MS"/>
                <w:color w:val="434343"/>
                <w:sz w:val="26"/>
                <w:szCs w:val="26"/>
                <w:lang w:eastAsia="ja-JP"/>
              </w:rPr>
            </w:pPr>
          </w:p>
        </w:tc>
        <w:tc>
          <w:tcPr>
            <w:tcW w:w="3107" w:type="dxa"/>
          </w:tcPr>
          <w:p w14:paraId="59F9E5AA" w14:textId="6B57981D" w:rsidR="002755EE" w:rsidRDefault="002755EE"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Adult Gerontology Acute Care</w:t>
            </w:r>
          </w:p>
          <w:p w14:paraId="0D5718C3" w14:textId="0112B21D" w:rsidR="002755EE" w:rsidRDefault="002755EE"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Nurse Practitioner</w:t>
            </w:r>
          </w:p>
        </w:tc>
        <w:tc>
          <w:tcPr>
            <w:tcW w:w="3311" w:type="dxa"/>
          </w:tcPr>
          <w:p w14:paraId="615D9BB2" w14:textId="18FE9BEF" w:rsidR="002755EE" w:rsidRDefault="002755EE"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 xml:space="preserve">Adult-Gerontology Primary Care Nurse Practitioner </w:t>
            </w:r>
          </w:p>
        </w:tc>
      </w:tr>
      <w:tr w:rsidR="00C70E31" w14:paraId="1B434C65" w14:textId="77777777" w:rsidTr="002755EE">
        <w:tc>
          <w:tcPr>
            <w:tcW w:w="2438" w:type="dxa"/>
          </w:tcPr>
          <w:p w14:paraId="3891515C" w14:textId="56C6258E" w:rsidR="00C70E31" w:rsidRDefault="00C70E31"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Health Promotion, Health Protection, Disease Prevention and treatment</w:t>
            </w:r>
          </w:p>
        </w:tc>
        <w:tc>
          <w:tcPr>
            <w:tcW w:w="3107" w:type="dxa"/>
          </w:tcPr>
          <w:p w14:paraId="0E77CC0C" w14:textId="6C957609" w:rsidR="00C70E31" w:rsidRDefault="008F5D42"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Same as primary care nurse practitioner, just additional patients are characterized as “unstable, vulnerable in need of acute and critical care management” (AACN, 2012).</w:t>
            </w:r>
          </w:p>
        </w:tc>
        <w:tc>
          <w:tcPr>
            <w:tcW w:w="3311" w:type="dxa"/>
          </w:tcPr>
          <w:p w14:paraId="24DBB1DE" w14:textId="311F18C5" w:rsidR="00C70E31" w:rsidRDefault="00F755FB"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Population includes, “entire spectrum of adults including young adults, adults and older adults – provider of direct health care services” (AACN, 2010).</w:t>
            </w:r>
          </w:p>
        </w:tc>
      </w:tr>
      <w:tr w:rsidR="00C70E31" w14:paraId="25C8F90C" w14:textId="77777777" w:rsidTr="002755EE">
        <w:tc>
          <w:tcPr>
            <w:tcW w:w="2438" w:type="dxa"/>
          </w:tcPr>
          <w:p w14:paraId="07018CDD" w14:textId="0A9BA4F0" w:rsidR="00C70E31" w:rsidRDefault="00C70E31"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A.  Assessment of Health status</w:t>
            </w:r>
          </w:p>
        </w:tc>
        <w:tc>
          <w:tcPr>
            <w:tcW w:w="3107" w:type="dxa"/>
          </w:tcPr>
          <w:p w14:paraId="7FD681C0" w14:textId="74BF81C7" w:rsidR="00C70E31" w:rsidRDefault="008F5D42"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Same as primary care nurse practitioner, just additional patients more “acute, critical and chronically ill or injured” (AACN, 2012).</w:t>
            </w:r>
          </w:p>
        </w:tc>
        <w:tc>
          <w:tcPr>
            <w:tcW w:w="3311" w:type="dxa"/>
          </w:tcPr>
          <w:p w14:paraId="633C9264" w14:textId="5728389C" w:rsidR="00C70E31" w:rsidRDefault="00810C65"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Competencies</w:t>
            </w:r>
            <w:r w:rsidR="0005315A">
              <w:rPr>
                <w:rFonts w:ascii="Trebuchet MS" w:hAnsi="Trebuchet MS" w:cs="Trebuchet MS"/>
                <w:color w:val="434343"/>
                <w:sz w:val="26"/>
                <w:szCs w:val="26"/>
                <w:lang w:eastAsia="ja-JP"/>
              </w:rPr>
              <w:t xml:space="preserve"> of assessment include “health promotion, health protection and disease prevention” (AACN, 2010).</w:t>
            </w:r>
          </w:p>
        </w:tc>
      </w:tr>
      <w:tr w:rsidR="00C70E31" w14:paraId="10A437C3" w14:textId="77777777" w:rsidTr="002755EE">
        <w:tc>
          <w:tcPr>
            <w:tcW w:w="2438" w:type="dxa"/>
          </w:tcPr>
          <w:p w14:paraId="61FA5168" w14:textId="10133154" w:rsidR="00C70E31" w:rsidRDefault="00C70E31"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B.  Diagnosis of Health status</w:t>
            </w:r>
          </w:p>
        </w:tc>
        <w:tc>
          <w:tcPr>
            <w:tcW w:w="3107" w:type="dxa"/>
          </w:tcPr>
          <w:p w14:paraId="2A06F85C" w14:textId="24868E49" w:rsidR="00C70E31" w:rsidRDefault="00E11D14"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Competency for diagnosis of health status includes, “physiologic instability or potential to experience rapid physiologic deterioration or life-</w:t>
            </w:r>
            <w:r>
              <w:rPr>
                <w:rFonts w:ascii="Trebuchet MS" w:hAnsi="Trebuchet MS" w:cs="Trebuchet MS"/>
                <w:color w:val="434343"/>
                <w:sz w:val="26"/>
                <w:szCs w:val="26"/>
                <w:lang w:eastAsia="ja-JP"/>
              </w:rPr>
              <w:lastRenderedPageBreak/>
              <w:t>threatening instability” (AACN, 2012).</w:t>
            </w:r>
          </w:p>
        </w:tc>
        <w:tc>
          <w:tcPr>
            <w:tcW w:w="3311" w:type="dxa"/>
          </w:tcPr>
          <w:p w14:paraId="6872A155" w14:textId="3FC8B873" w:rsidR="00C70E31" w:rsidRDefault="00810C65"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lastRenderedPageBreak/>
              <w:t>Competencies of Diagnosis include, “critical thinking, differential diagnosis and integration and interpretation of data” (AACN, 2010)</w:t>
            </w:r>
          </w:p>
        </w:tc>
      </w:tr>
      <w:tr w:rsidR="00C70E31" w14:paraId="6BD40FB9" w14:textId="77777777" w:rsidTr="002755EE">
        <w:tc>
          <w:tcPr>
            <w:tcW w:w="2438" w:type="dxa"/>
          </w:tcPr>
          <w:p w14:paraId="56FED4CC" w14:textId="4B582873" w:rsidR="00C70E31" w:rsidRDefault="00C70E31"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lastRenderedPageBreak/>
              <w:t>C.  Plan of Care and Implementation of treatment</w:t>
            </w:r>
          </w:p>
        </w:tc>
        <w:tc>
          <w:tcPr>
            <w:tcW w:w="3107" w:type="dxa"/>
          </w:tcPr>
          <w:p w14:paraId="06FBED50" w14:textId="590D54BE" w:rsidR="00C70E31" w:rsidRDefault="00E11D14"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Same as primary care nurse practitioner</w:t>
            </w:r>
          </w:p>
        </w:tc>
        <w:tc>
          <w:tcPr>
            <w:tcW w:w="3311" w:type="dxa"/>
          </w:tcPr>
          <w:p w14:paraId="09CBD5C1" w14:textId="72B83671" w:rsidR="00C70E31" w:rsidRDefault="00810C65"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Competencies of Plan of care and implementation include, “stabilizing the individual, minimizing physical and psychological complications, maximizing the individuals health potential and assist with palliative care management” (AACN, 2010).</w:t>
            </w:r>
          </w:p>
        </w:tc>
      </w:tr>
      <w:tr w:rsidR="00C70E31" w14:paraId="3C737F82" w14:textId="77777777" w:rsidTr="002755EE">
        <w:tc>
          <w:tcPr>
            <w:tcW w:w="2438" w:type="dxa"/>
          </w:tcPr>
          <w:p w14:paraId="072F9D70" w14:textId="1014A1D1" w:rsidR="00C70E31" w:rsidRDefault="00C70E31"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Nurse Practitioner-Patient Relationship</w:t>
            </w:r>
          </w:p>
        </w:tc>
        <w:tc>
          <w:tcPr>
            <w:tcW w:w="3107" w:type="dxa"/>
          </w:tcPr>
          <w:p w14:paraId="416C1867" w14:textId="288DFAF0" w:rsidR="00C70E31" w:rsidRDefault="00E11D14"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Same as primary care nurse practitioner – but due to critical nature of patients have to be more cognizant of mental status.</w:t>
            </w:r>
            <w:r w:rsidR="00257FCA">
              <w:rPr>
                <w:rFonts w:ascii="Trebuchet MS" w:hAnsi="Trebuchet MS" w:cs="Trebuchet MS"/>
                <w:color w:val="434343"/>
                <w:sz w:val="26"/>
                <w:szCs w:val="26"/>
                <w:lang w:eastAsia="ja-JP"/>
              </w:rPr>
              <w:t xml:space="preserve"> (AACN, 2012)</w:t>
            </w:r>
          </w:p>
        </w:tc>
        <w:tc>
          <w:tcPr>
            <w:tcW w:w="3311" w:type="dxa"/>
          </w:tcPr>
          <w:p w14:paraId="6AF10C58" w14:textId="3BEE924B" w:rsidR="00C70E31" w:rsidRDefault="00810C65"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Competency for patient relationship includes demonstration of, “personal, collegial and collaborative approach” (AACN, 2010).</w:t>
            </w:r>
          </w:p>
        </w:tc>
      </w:tr>
      <w:tr w:rsidR="00C70E31" w14:paraId="116139FA" w14:textId="77777777" w:rsidTr="002755EE">
        <w:tc>
          <w:tcPr>
            <w:tcW w:w="2438" w:type="dxa"/>
          </w:tcPr>
          <w:p w14:paraId="43992CA3" w14:textId="029080D5" w:rsidR="00C70E31" w:rsidRDefault="00C70E31"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Teaching-Coaching Function</w:t>
            </w:r>
          </w:p>
        </w:tc>
        <w:tc>
          <w:tcPr>
            <w:tcW w:w="3107" w:type="dxa"/>
          </w:tcPr>
          <w:p w14:paraId="35EF7BAA" w14:textId="197B418A" w:rsidR="00C70E31" w:rsidRDefault="00E11D14" w:rsidP="00257FCA">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 xml:space="preserve">Same as primary care nurse practitioner </w:t>
            </w:r>
            <w:r w:rsidR="00257FCA">
              <w:rPr>
                <w:rFonts w:ascii="Trebuchet MS" w:hAnsi="Trebuchet MS" w:cs="Trebuchet MS"/>
                <w:color w:val="434343"/>
                <w:sz w:val="26"/>
                <w:szCs w:val="26"/>
                <w:lang w:eastAsia="ja-JP"/>
              </w:rPr>
              <w:t>– but with the addition of “imparting coping skills” (AACN, 2012)</w:t>
            </w:r>
          </w:p>
        </w:tc>
        <w:tc>
          <w:tcPr>
            <w:tcW w:w="3311" w:type="dxa"/>
          </w:tcPr>
          <w:p w14:paraId="3F67EFA4" w14:textId="4BC0722C" w:rsidR="00C70E31" w:rsidRDefault="00810C65" w:rsidP="005F056C">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Competency for teaching includes, “impart knowledge and associated psychomotor skills to individuals, family and other caregivers” (AACN, 2010).</w:t>
            </w:r>
          </w:p>
        </w:tc>
      </w:tr>
      <w:tr w:rsidR="00C70E31" w14:paraId="022E62DA" w14:textId="77777777" w:rsidTr="002755EE">
        <w:tc>
          <w:tcPr>
            <w:tcW w:w="2438" w:type="dxa"/>
          </w:tcPr>
          <w:p w14:paraId="7C64C772" w14:textId="7CAB1DCD" w:rsidR="00C70E31" w:rsidRDefault="00C70E31" w:rsidP="002755EE">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Professional Role</w:t>
            </w:r>
          </w:p>
        </w:tc>
        <w:tc>
          <w:tcPr>
            <w:tcW w:w="3107" w:type="dxa"/>
          </w:tcPr>
          <w:p w14:paraId="252C04F6" w14:textId="38379662" w:rsidR="00C70E31" w:rsidRDefault="00257FCA" w:rsidP="002755EE">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Competency is similar to primary care, but “</w:t>
            </w:r>
            <w:proofErr w:type="spellStart"/>
            <w:r>
              <w:rPr>
                <w:rFonts w:ascii="Trebuchet MS" w:hAnsi="Trebuchet MS" w:cs="Trebuchet MS"/>
                <w:color w:val="434343"/>
                <w:sz w:val="26"/>
                <w:szCs w:val="26"/>
                <w:lang w:eastAsia="ja-JP"/>
              </w:rPr>
              <w:t>interprofessional</w:t>
            </w:r>
            <w:proofErr w:type="spellEnd"/>
            <w:r>
              <w:rPr>
                <w:rFonts w:ascii="Trebuchet MS" w:hAnsi="Trebuchet MS" w:cs="Trebuchet MS"/>
                <w:color w:val="434343"/>
                <w:sz w:val="26"/>
                <w:szCs w:val="26"/>
                <w:lang w:eastAsia="ja-JP"/>
              </w:rPr>
              <w:t xml:space="preserve"> </w:t>
            </w:r>
            <w:proofErr w:type="gramStart"/>
            <w:r>
              <w:rPr>
                <w:rFonts w:ascii="Trebuchet MS" w:hAnsi="Trebuchet MS" w:cs="Trebuchet MS"/>
                <w:color w:val="434343"/>
                <w:sz w:val="26"/>
                <w:szCs w:val="26"/>
                <w:lang w:eastAsia="ja-JP"/>
              </w:rPr>
              <w:t>relationships ..</w:t>
            </w:r>
            <w:proofErr w:type="gramEnd"/>
            <w:r>
              <w:rPr>
                <w:rFonts w:ascii="Trebuchet MS" w:hAnsi="Trebuchet MS" w:cs="Trebuchet MS"/>
                <w:color w:val="434343"/>
                <w:sz w:val="26"/>
                <w:szCs w:val="26"/>
                <w:lang w:eastAsia="ja-JP"/>
              </w:rPr>
              <w:t xml:space="preserve"> </w:t>
            </w:r>
            <w:proofErr w:type="gramStart"/>
            <w:r>
              <w:rPr>
                <w:rFonts w:ascii="Trebuchet MS" w:hAnsi="Trebuchet MS" w:cs="Trebuchet MS"/>
                <w:color w:val="434343"/>
                <w:sz w:val="26"/>
                <w:szCs w:val="26"/>
                <w:lang w:eastAsia="ja-JP"/>
              </w:rPr>
              <w:t>assist</w:t>
            </w:r>
            <w:proofErr w:type="gramEnd"/>
            <w:r>
              <w:rPr>
                <w:rFonts w:ascii="Trebuchet MS" w:hAnsi="Trebuchet MS" w:cs="Trebuchet MS"/>
                <w:color w:val="434343"/>
                <w:sz w:val="26"/>
                <w:szCs w:val="26"/>
                <w:lang w:eastAsia="ja-JP"/>
              </w:rPr>
              <w:t xml:space="preserve"> with complex acute, critical and chronic illnesses” (AACN, 2012).</w:t>
            </w:r>
          </w:p>
        </w:tc>
        <w:tc>
          <w:tcPr>
            <w:tcW w:w="3311" w:type="dxa"/>
          </w:tcPr>
          <w:p w14:paraId="24C70598" w14:textId="7C13F2FF" w:rsidR="00C70E31" w:rsidRDefault="00810C65" w:rsidP="002755EE">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 xml:space="preserve">Competency in professional role, </w:t>
            </w:r>
            <w:r w:rsidR="00454860">
              <w:rPr>
                <w:rFonts w:ascii="Trebuchet MS" w:hAnsi="Trebuchet MS" w:cs="Trebuchet MS"/>
                <w:color w:val="434343"/>
                <w:sz w:val="26"/>
                <w:szCs w:val="26"/>
                <w:lang w:eastAsia="ja-JP"/>
              </w:rPr>
              <w:t>“commitment to the implementation and evolution and critical thinking” (AACN, 2010).</w:t>
            </w:r>
          </w:p>
        </w:tc>
      </w:tr>
      <w:tr w:rsidR="00C70E31" w14:paraId="430AABBC" w14:textId="77777777" w:rsidTr="002755EE">
        <w:tc>
          <w:tcPr>
            <w:tcW w:w="2438" w:type="dxa"/>
          </w:tcPr>
          <w:p w14:paraId="7597B206" w14:textId="4BA34B0B" w:rsidR="00C70E31" w:rsidRDefault="00C70E31" w:rsidP="002755EE">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Managing and negotiating health care delivery system</w:t>
            </w:r>
          </w:p>
        </w:tc>
        <w:tc>
          <w:tcPr>
            <w:tcW w:w="3107" w:type="dxa"/>
          </w:tcPr>
          <w:p w14:paraId="4892F560" w14:textId="2E0FC2FE" w:rsidR="00C70E31" w:rsidRDefault="00257FCA" w:rsidP="002755EE">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Same as primary care nurse practitioner and in addition “addresses the development and implementation of system policies affecting services” (AACN, 2012).</w:t>
            </w:r>
          </w:p>
        </w:tc>
        <w:tc>
          <w:tcPr>
            <w:tcW w:w="3311" w:type="dxa"/>
          </w:tcPr>
          <w:p w14:paraId="48DC35D9" w14:textId="245E1321" w:rsidR="00C70E31" w:rsidRDefault="00454860" w:rsidP="002755EE">
            <w:pPr>
              <w:rPr>
                <w:rFonts w:ascii="Trebuchet MS" w:hAnsi="Trebuchet MS" w:cs="Trebuchet MS"/>
                <w:color w:val="434343"/>
                <w:sz w:val="26"/>
                <w:szCs w:val="26"/>
                <w:lang w:eastAsia="ja-JP"/>
              </w:rPr>
            </w:pPr>
            <w:proofErr w:type="gramStart"/>
            <w:r>
              <w:rPr>
                <w:rFonts w:ascii="Trebuchet MS" w:hAnsi="Trebuchet MS" w:cs="Trebuchet MS"/>
                <w:color w:val="434343"/>
                <w:sz w:val="26"/>
                <w:szCs w:val="26"/>
                <w:lang w:eastAsia="ja-JP"/>
              </w:rPr>
              <w:t>Competency in Managing the health care system include</w:t>
            </w:r>
            <w:proofErr w:type="gramEnd"/>
            <w:r>
              <w:rPr>
                <w:rFonts w:ascii="Trebuchet MS" w:hAnsi="Trebuchet MS" w:cs="Trebuchet MS"/>
                <w:color w:val="434343"/>
                <w:sz w:val="26"/>
                <w:szCs w:val="26"/>
                <w:lang w:eastAsia="ja-JP"/>
              </w:rPr>
              <w:t xml:space="preserve"> achievement of, improved health outcomes for “individuals, communities and systems by overseeing an directing the delivery of clinical services” (AACN, 2010).</w:t>
            </w:r>
          </w:p>
        </w:tc>
      </w:tr>
      <w:tr w:rsidR="00C70E31" w14:paraId="2FE32A9B" w14:textId="77777777" w:rsidTr="002755EE">
        <w:tc>
          <w:tcPr>
            <w:tcW w:w="2438" w:type="dxa"/>
          </w:tcPr>
          <w:p w14:paraId="1EF93AFA" w14:textId="5282C26E" w:rsidR="00C70E31" w:rsidRDefault="00C70E31" w:rsidP="002755EE">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Monitoring and ensuring the quality of health care practice</w:t>
            </w:r>
          </w:p>
        </w:tc>
        <w:tc>
          <w:tcPr>
            <w:tcW w:w="3107" w:type="dxa"/>
          </w:tcPr>
          <w:p w14:paraId="0B6B2657" w14:textId="1E218F7A" w:rsidR="00C70E31" w:rsidRDefault="00B81638" w:rsidP="002755EE">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Same as primary care nurse practitioner</w:t>
            </w:r>
          </w:p>
        </w:tc>
        <w:tc>
          <w:tcPr>
            <w:tcW w:w="3311" w:type="dxa"/>
          </w:tcPr>
          <w:p w14:paraId="28AA7F52" w14:textId="42997663" w:rsidR="00C70E31" w:rsidRDefault="0010410D" w:rsidP="002755EE">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Competencies for monitoring include, “quality of care through consultation, collaboration, continuing education, certification and evaluation” (AACN, 2010).</w:t>
            </w:r>
          </w:p>
        </w:tc>
      </w:tr>
      <w:tr w:rsidR="00C70E31" w14:paraId="1C5A159E" w14:textId="77777777" w:rsidTr="002755EE">
        <w:tc>
          <w:tcPr>
            <w:tcW w:w="2438" w:type="dxa"/>
          </w:tcPr>
          <w:p w14:paraId="06501E50" w14:textId="7D69E334" w:rsidR="00C70E31" w:rsidRDefault="00C70E31" w:rsidP="002755EE">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Cultural and Spiritual Competence</w:t>
            </w:r>
          </w:p>
        </w:tc>
        <w:tc>
          <w:tcPr>
            <w:tcW w:w="3107" w:type="dxa"/>
          </w:tcPr>
          <w:p w14:paraId="4186F8CF" w14:textId="0889EE0D" w:rsidR="00C70E31" w:rsidRDefault="00B81638" w:rsidP="002755EE">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Same as primary care nurse practitioner</w:t>
            </w:r>
          </w:p>
        </w:tc>
        <w:tc>
          <w:tcPr>
            <w:tcW w:w="3311" w:type="dxa"/>
          </w:tcPr>
          <w:p w14:paraId="7203F1A4" w14:textId="3AACDC62" w:rsidR="00C70E31" w:rsidRDefault="0010410D" w:rsidP="002755EE">
            <w:pPr>
              <w:rPr>
                <w:rFonts w:ascii="Trebuchet MS" w:hAnsi="Trebuchet MS" w:cs="Trebuchet MS"/>
                <w:color w:val="434343"/>
                <w:sz w:val="26"/>
                <w:szCs w:val="26"/>
                <w:lang w:eastAsia="ja-JP"/>
              </w:rPr>
            </w:pPr>
            <w:r>
              <w:rPr>
                <w:rFonts w:ascii="Trebuchet MS" w:hAnsi="Trebuchet MS" w:cs="Trebuchet MS"/>
                <w:color w:val="434343"/>
                <w:sz w:val="26"/>
                <w:szCs w:val="26"/>
                <w:lang w:eastAsia="ja-JP"/>
              </w:rPr>
              <w:t>Competency in cultural and spiritual care includes “delivery of individual cultural and spiritual beliefs</w:t>
            </w:r>
            <w:proofErr w:type="gramStart"/>
            <w:r>
              <w:rPr>
                <w:rFonts w:ascii="Trebuchet MS" w:hAnsi="Trebuchet MS" w:cs="Trebuchet MS"/>
                <w:color w:val="434343"/>
                <w:sz w:val="26"/>
                <w:szCs w:val="26"/>
                <w:lang w:eastAsia="ja-JP"/>
              </w:rPr>
              <w:t>..</w:t>
            </w:r>
            <w:proofErr w:type="gramEnd"/>
            <w:r>
              <w:rPr>
                <w:rFonts w:ascii="Trebuchet MS" w:hAnsi="Trebuchet MS" w:cs="Trebuchet MS"/>
                <w:color w:val="434343"/>
                <w:sz w:val="26"/>
                <w:szCs w:val="26"/>
                <w:lang w:eastAsia="ja-JP"/>
              </w:rPr>
              <w:t xml:space="preserve"> </w:t>
            </w:r>
            <w:proofErr w:type="gramStart"/>
            <w:r>
              <w:rPr>
                <w:rFonts w:ascii="Trebuchet MS" w:hAnsi="Trebuchet MS" w:cs="Trebuchet MS"/>
                <w:color w:val="434343"/>
                <w:sz w:val="26"/>
                <w:szCs w:val="26"/>
                <w:lang w:eastAsia="ja-JP"/>
              </w:rPr>
              <w:t>for</w:t>
            </w:r>
            <w:proofErr w:type="gramEnd"/>
            <w:r>
              <w:rPr>
                <w:rFonts w:ascii="Trebuchet MS" w:hAnsi="Trebuchet MS" w:cs="Trebuchet MS"/>
                <w:color w:val="434343"/>
                <w:sz w:val="26"/>
                <w:szCs w:val="26"/>
                <w:lang w:eastAsia="ja-JP"/>
              </w:rPr>
              <w:t xml:space="preserve"> patients of diverse backgrounds.</w:t>
            </w:r>
          </w:p>
        </w:tc>
      </w:tr>
      <w:tr w:rsidR="00C70E31" w14:paraId="23864514" w14:textId="77777777" w:rsidTr="002755EE">
        <w:tc>
          <w:tcPr>
            <w:tcW w:w="2438" w:type="dxa"/>
          </w:tcPr>
          <w:p w14:paraId="1780FDC0" w14:textId="77777777" w:rsidR="00C70E31" w:rsidRDefault="00C70E31" w:rsidP="002755EE">
            <w:pPr>
              <w:rPr>
                <w:rFonts w:ascii="Trebuchet MS" w:hAnsi="Trebuchet MS" w:cs="Trebuchet MS"/>
                <w:color w:val="434343"/>
                <w:sz w:val="26"/>
                <w:szCs w:val="26"/>
                <w:lang w:eastAsia="ja-JP"/>
              </w:rPr>
            </w:pPr>
          </w:p>
        </w:tc>
        <w:tc>
          <w:tcPr>
            <w:tcW w:w="3107" w:type="dxa"/>
          </w:tcPr>
          <w:p w14:paraId="46FC1DBF" w14:textId="4AA78408" w:rsidR="00C70E31" w:rsidRDefault="00C70E31" w:rsidP="002755EE">
            <w:pPr>
              <w:rPr>
                <w:rFonts w:ascii="Trebuchet MS" w:hAnsi="Trebuchet MS" w:cs="Trebuchet MS"/>
                <w:color w:val="434343"/>
                <w:sz w:val="26"/>
                <w:szCs w:val="26"/>
                <w:lang w:eastAsia="ja-JP"/>
              </w:rPr>
            </w:pPr>
          </w:p>
        </w:tc>
        <w:tc>
          <w:tcPr>
            <w:tcW w:w="3311" w:type="dxa"/>
          </w:tcPr>
          <w:p w14:paraId="510E0FF0" w14:textId="20410531" w:rsidR="00C70E31" w:rsidRDefault="00C70E31" w:rsidP="002755EE">
            <w:pPr>
              <w:rPr>
                <w:rFonts w:ascii="Trebuchet MS" w:hAnsi="Trebuchet MS" w:cs="Trebuchet MS"/>
                <w:color w:val="434343"/>
                <w:sz w:val="26"/>
                <w:szCs w:val="26"/>
                <w:lang w:eastAsia="ja-JP"/>
              </w:rPr>
            </w:pPr>
          </w:p>
        </w:tc>
      </w:tr>
      <w:tr w:rsidR="00C70E31" w14:paraId="00E36AA8" w14:textId="77777777" w:rsidTr="002755EE">
        <w:tc>
          <w:tcPr>
            <w:tcW w:w="2438" w:type="dxa"/>
          </w:tcPr>
          <w:p w14:paraId="162B9A37" w14:textId="77777777" w:rsidR="00C70E31" w:rsidRDefault="00C70E31" w:rsidP="002755EE">
            <w:pPr>
              <w:rPr>
                <w:rFonts w:ascii="Trebuchet MS" w:hAnsi="Trebuchet MS" w:cs="Trebuchet MS"/>
                <w:color w:val="434343"/>
                <w:sz w:val="26"/>
                <w:szCs w:val="26"/>
                <w:lang w:eastAsia="ja-JP"/>
              </w:rPr>
            </w:pPr>
          </w:p>
        </w:tc>
        <w:tc>
          <w:tcPr>
            <w:tcW w:w="3107" w:type="dxa"/>
          </w:tcPr>
          <w:p w14:paraId="7114D067" w14:textId="4A93763B" w:rsidR="00C70E31" w:rsidRDefault="00C70E31" w:rsidP="002755EE">
            <w:pPr>
              <w:rPr>
                <w:rFonts w:ascii="Trebuchet MS" w:hAnsi="Trebuchet MS" w:cs="Trebuchet MS"/>
                <w:color w:val="434343"/>
                <w:sz w:val="26"/>
                <w:szCs w:val="26"/>
                <w:lang w:eastAsia="ja-JP"/>
              </w:rPr>
            </w:pPr>
          </w:p>
        </w:tc>
        <w:tc>
          <w:tcPr>
            <w:tcW w:w="3311" w:type="dxa"/>
          </w:tcPr>
          <w:p w14:paraId="468BEBD7" w14:textId="65473ACB" w:rsidR="00C70E31" w:rsidRDefault="00C70E31" w:rsidP="002755EE">
            <w:pPr>
              <w:rPr>
                <w:rFonts w:ascii="Trebuchet MS" w:hAnsi="Trebuchet MS" w:cs="Trebuchet MS"/>
                <w:color w:val="434343"/>
                <w:sz w:val="26"/>
                <w:szCs w:val="26"/>
                <w:lang w:eastAsia="ja-JP"/>
              </w:rPr>
            </w:pPr>
          </w:p>
        </w:tc>
      </w:tr>
    </w:tbl>
    <w:p w14:paraId="29E81997" w14:textId="77777777" w:rsidR="002755EE" w:rsidRDefault="002755EE" w:rsidP="005F056C">
      <w:pPr>
        <w:rPr>
          <w:rFonts w:ascii="Trebuchet MS" w:hAnsi="Trebuchet MS" w:cs="Trebuchet MS"/>
          <w:color w:val="434343"/>
          <w:sz w:val="26"/>
          <w:szCs w:val="26"/>
          <w:lang w:eastAsia="ja-JP"/>
        </w:rPr>
      </w:pPr>
    </w:p>
    <w:p w14:paraId="21B25F40" w14:textId="4AE7E12A" w:rsidR="005F056C" w:rsidRDefault="0024174A" w:rsidP="005F056C">
      <w:r>
        <w:t xml:space="preserve">American Association of Colleges of Nursing [AACN] (2010) Adult-Gerontology Primary Care Nurse Practitioner competency, retrieved on 5/12/16 from </w:t>
      </w:r>
      <w:hyperlink r:id="rId5" w:history="1">
        <w:r w:rsidRPr="00886DCC">
          <w:rPr>
            <w:rStyle w:val="Hyperlink"/>
          </w:rPr>
          <w:t>http://c.ymcdn.com/sites/www.nonpf.org/resource/resmgr/competencies/adult-geropccomps2010.pdf</w:t>
        </w:r>
      </w:hyperlink>
    </w:p>
    <w:p w14:paraId="7EB3E5F1" w14:textId="77777777" w:rsidR="0024174A" w:rsidRDefault="0024174A" w:rsidP="005F056C"/>
    <w:p w14:paraId="5F39E3E0" w14:textId="2A1D86A7" w:rsidR="0024174A" w:rsidRDefault="0024174A" w:rsidP="005F056C">
      <w:r>
        <w:t>American Associati</w:t>
      </w:r>
      <w:r w:rsidR="008F5D42">
        <w:t>on of Colleges of Nursing [AACN</w:t>
      </w:r>
      <w:r>
        <w:t>] (2012</w:t>
      </w:r>
      <w:proofErr w:type="gramStart"/>
      <w:r>
        <w:t>)  Adult</w:t>
      </w:r>
      <w:proofErr w:type="gramEnd"/>
      <w:r>
        <w:t xml:space="preserve">-Gerontology Acute Care Nurse Practitioner competency, retrieved on 5/12/16 from  </w:t>
      </w:r>
      <w:hyperlink r:id="rId6" w:history="1">
        <w:r w:rsidRPr="00886DCC">
          <w:rPr>
            <w:rStyle w:val="Hyperlink"/>
          </w:rPr>
          <w:t>http://c.ymcdn.com/sites/www.nonpf.org/resource/resmgr/competencies/adult-geroaccompsfinal2012.pdf</w:t>
        </w:r>
      </w:hyperlink>
    </w:p>
    <w:p w14:paraId="29C8DFD9" w14:textId="77777777" w:rsidR="0024174A" w:rsidRDefault="0024174A" w:rsidP="005F056C"/>
    <w:p w14:paraId="5057A538" w14:textId="2630E197" w:rsidR="0024174A" w:rsidRDefault="0013466B" w:rsidP="005F056C">
      <w:r>
        <w:t xml:space="preserve">Arizona State Board of Nursing [ASBN] (2016) Advanced Practice Advisory </w:t>
      </w:r>
      <w:bookmarkStart w:id="0" w:name="_GoBack"/>
      <w:bookmarkEnd w:id="0"/>
      <w:r>
        <w:t xml:space="preserve">Committee, retrieved on 5/12/16 from </w:t>
      </w:r>
      <w:hyperlink r:id="rId7" w:history="1">
        <w:r w:rsidRPr="00886DCC">
          <w:rPr>
            <w:rStyle w:val="Hyperlink"/>
          </w:rPr>
          <w:t>https://www.azbn.gov/media/1122/ap-committee-meeting-schedule-2016.pdf</w:t>
        </w:r>
      </w:hyperlink>
    </w:p>
    <w:p w14:paraId="07699758" w14:textId="77777777" w:rsidR="0013466B" w:rsidRDefault="0013466B" w:rsidP="005F056C"/>
    <w:p w14:paraId="52FCE3E7" w14:textId="77777777" w:rsidR="005F056C" w:rsidRDefault="005F056C">
      <w:r>
        <w:rPr>
          <w:rFonts w:ascii="Trebuchet MS" w:hAnsi="Trebuchet MS" w:cs="Trebuchet MS"/>
          <w:color w:val="434343"/>
          <w:lang w:eastAsia="ja-JP"/>
        </w:rPr>
        <w:t>Demonstrates full and deep knowledge of the subject. Develops and explains and informed position on the differences in education and training between the ACNPC-AG and FNPC-AG. Integrates the concepts of differing education and training into a solid, convincing thesis. Accurately interprets the position of the Arizona Board of Nursing regarding nurse practitioners in the acute care setting. Integrates table into paper.</w:t>
      </w:r>
    </w:p>
    <w:sectPr w:rsidR="005F056C" w:rsidSect="0024174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13"/>
    <w:rsid w:val="0005315A"/>
    <w:rsid w:val="0010410D"/>
    <w:rsid w:val="0013466B"/>
    <w:rsid w:val="0024174A"/>
    <w:rsid w:val="00257FCA"/>
    <w:rsid w:val="002755EE"/>
    <w:rsid w:val="002B1D17"/>
    <w:rsid w:val="00454860"/>
    <w:rsid w:val="00524F25"/>
    <w:rsid w:val="005F056C"/>
    <w:rsid w:val="00810C65"/>
    <w:rsid w:val="008F5D42"/>
    <w:rsid w:val="0097353B"/>
    <w:rsid w:val="00B81638"/>
    <w:rsid w:val="00C35413"/>
    <w:rsid w:val="00C70E31"/>
    <w:rsid w:val="00E11D14"/>
    <w:rsid w:val="00F75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364D5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74A"/>
    <w:rPr>
      <w:color w:val="0000FF" w:themeColor="hyperlink"/>
      <w:u w:val="single"/>
    </w:rPr>
  </w:style>
  <w:style w:type="table" w:styleId="TableGrid">
    <w:name w:val="Table Grid"/>
    <w:basedOn w:val="TableNormal"/>
    <w:uiPriority w:val="59"/>
    <w:rsid w:val="00275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74A"/>
    <w:rPr>
      <w:color w:val="0000FF" w:themeColor="hyperlink"/>
      <w:u w:val="single"/>
    </w:rPr>
  </w:style>
  <w:style w:type="table" w:styleId="TableGrid">
    <w:name w:val="Table Grid"/>
    <w:basedOn w:val="TableNormal"/>
    <w:uiPriority w:val="59"/>
    <w:rsid w:val="00275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ymcdn.com/sites/www.nonpf.org/resource/resmgr/competencies/adult-geropccomps2010.pdf" TargetMode="External"/><Relationship Id="rId6" Type="http://schemas.openxmlformats.org/officeDocument/2006/relationships/hyperlink" Target="http://c.ymcdn.com/sites/www.nonpf.org/resource/resmgr/competencies/adult-geroaccompsfinal2012.pdf" TargetMode="External"/><Relationship Id="rId7" Type="http://schemas.openxmlformats.org/officeDocument/2006/relationships/hyperlink" Target="https://www.azbn.gov/media/1122/ap-committee-meeting-schedule-2016.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815</Words>
  <Characters>4648</Characters>
  <Application>Microsoft Macintosh Word</Application>
  <DocSecurity>0</DocSecurity>
  <Lines>38</Lines>
  <Paragraphs>10</Paragraphs>
  <ScaleCrop>false</ScaleCrop>
  <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5</cp:revision>
  <dcterms:created xsi:type="dcterms:W3CDTF">2016-05-09T17:33:00Z</dcterms:created>
  <dcterms:modified xsi:type="dcterms:W3CDTF">2016-05-12T22:56:00Z</dcterms:modified>
</cp:coreProperties>
</file>