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070"/>
        <w:gridCol w:w="1890"/>
        <w:gridCol w:w="2700"/>
        <w:gridCol w:w="2700"/>
        <w:gridCol w:w="2700"/>
      </w:tblGrid>
      <w:tr w:rsidR="0090206E" w:rsidTr="0090206E">
        <w:tblPrEx>
          <w:tblCellMar>
            <w:top w:w="0" w:type="dxa"/>
            <w:bottom w:w="0" w:type="dxa"/>
          </w:tblCellMar>
        </w:tblPrEx>
        <w:tc>
          <w:tcPr>
            <w:tcW w:w="1908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1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Unsatisfactory 0-75%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0.00%</w:t>
            </w:r>
          </w:p>
        </w:tc>
        <w:tc>
          <w:tcPr>
            <w:tcW w:w="180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2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Less Than Satisfactory 76-80%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80.00%</w:t>
            </w:r>
          </w:p>
        </w:tc>
        <w:tc>
          <w:tcPr>
            <w:tcW w:w="207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3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Satisfactory 81-88%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88.00%</w:t>
            </w:r>
          </w:p>
        </w:tc>
        <w:tc>
          <w:tcPr>
            <w:tcW w:w="189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4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Good 89-92%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92.00%</w:t>
            </w:r>
          </w:p>
        </w:tc>
        <w:tc>
          <w:tcPr>
            <w:tcW w:w="270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5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Excellent 93-100%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100.00%</w:t>
            </w:r>
          </w:p>
        </w:tc>
        <w:tc>
          <w:tcPr>
            <w:tcW w:w="270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</w:p>
        </w:tc>
        <w:tc>
          <w:tcPr>
            <w:tcW w:w="2700" w:type="dxa"/>
            <w:tcMar>
              <w:left w:w="80" w:type="nil"/>
              <w:bottom w:w="80" w:type="nil"/>
            </w:tcMar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</w:pP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8BBAD2"/>
              <w:left w:val="single" w:sz="8" w:space="0" w:color="8BBAD2"/>
              <w:bottom w:val="single" w:sz="8" w:space="0" w:color="8BBAD2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70.0 %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Module 1 Rubric</w:t>
            </w:r>
          </w:p>
        </w:tc>
        <w:tc>
          <w:tcPr>
            <w:tcW w:w="13860" w:type="dxa"/>
            <w:gridSpan w:val="6"/>
            <w:tcBorders>
              <w:top w:val="single" w:sz="8" w:space="0" w:color="8BBAD2"/>
              <w:left w:val="single" w:sz="8" w:space="0" w:color="8BBAD2"/>
              <w:bottom w:val="single" w:sz="8" w:space="0" w:color="8BBAD2"/>
              <w:right w:val="single" w:sz="8" w:space="0" w:color="8BBAD2"/>
            </w:tcBorders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 </w:t>
            </w: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70.0 %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Subject Knowledge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Does not demonstrate knowledge of the concept. Fails to identify the impact of the published competencies of the Adult-Gerontology Acute Care Nurse Practitioner (ACNPC-AG) versus those of the Adult-Gerontology Primary Care Nurse Practitioner (FNPC-AG).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Demonstrates minimal knowledge of the subject. Does not adequately visualize the Scope of Practice ACNPC-AG compared to that of FNPC-AG. Does not justify the impact of differing didactic and clinical educational preparation.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Demonstrates moderate knowledge of the subject. Recognizes the basic Scope of Practice ACNP compared to that of FNP. Misinterprets evidence and implications of the published competencies differentiating the ACNPC-AG and FNPC-AG.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Demonstrates good knowledge of the subject. Correctly describes the Scope of Practice for the ACNP. Compares and contrasts the ACNPC-AG scope of practice to that of FNPC-AG. States a perspective concerning these differing roles. Justifies some of the impact of the Arizona Board of Nursing White Paper (2009).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Demonstrates full and deep knowledge of the subject. Develops and explains and informed position on the differences in education and training between the ACNPC-AG and FNPC-AG. Integrates the concepts of differing education and training into a solid, convincing thesis. Accurately interprets the position of the Arizona Board of Nursing regarding nurse practitioners in the acute care setting. Integrates table into paper.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8BBAD2"/>
              <w:left w:val="single" w:sz="8" w:space="0" w:color="8BBAD2"/>
              <w:bottom w:val="single" w:sz="8" w:space="0" w:color="8BBAD2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lastRenderedPageBreak/>
              <w:t>20.0 %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Organization and Effectiveness</w:t>
            </w:r>
          </w:p>
        </w:tc>
        <w:tc>
          <w:tcPr>
            <w:tcW w:w="13860" w:type="dxa"/>
            <w:gridSpan w:val="6"/>
            <w:tcBorders>
              <w:top w:val="single" w:sz="8" w:space="0" w:color="8BBAD2"/>
              <w:left w:val="single" w:sz="8" w:space="0" w:color="8BBAD2"/>
              <w:bottom w:val="single" w:sz="8" w:space="0" w:color="8BBAD2"/>
              <w:right w:val="single" w:sz="8" w:space="0" w:color="8BBAD2"/>
            </w:tcBorders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 </w:t>
            </w: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7.0 %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Thesis Development and Purpose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Paper lacks any discernible overall purpose or organizing claim.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Thesis and/or main claim are insufficiently developed and/or vague; purpose is not clear.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Thesis and/or main claim are apparent and appropriate to purpose.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Thesis and/or main claim are comprehensive. The essence of the paper is contained within the thesis. Thesis statement makes the purpose of the paper clear.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8.0 %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Argument Logic and Construction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>
              <w:rPr>
                <w:rFonts w:ascii="Trebuchet MS" w:hAnsi="Trebuchet MS" w:cs="Trebuchet MS"/>
                <w:color w:val="434343"/>
                <w:lang w:eastAsia="ja-JP"/>
              </w:rPr>
              <w:t>noncredible</w:t>
            </w:r>
            <w:proofErr w:type="spellEnd"/>
            <w:r>
              <w:rPr>
                <w:rFonts w:ascii="Trebuchet MS" w:hAnsi="Trebuchet MS" w:cs="Trebuchet MS"/>
                <w:color w:val="434343"/>
                <w:lang w:eastAsia="ja-JP"/>
              </w:rPr>
              <w:t xml:space="preserve"> sources.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Argument is orderly, but may have a few inconsistencies. Presents minimal justification of claims. Logically, but not thoroughly, supports the purpose. Sources are credible. Introduction &amp; conclusion bracket the thesis.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Argument shows logical progression Techniques of argumentation are evident. Smooth progression of claims from introduction to conclusion. Most sources are authoritative.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Clear and convincing argument presents a persuasive claim in a distinctive and compelling manner. All sources are authoritative.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5.0 %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Mechanics of Writing (includes spelling, punctuation, grammar, language use)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Frequent and repetitive mechanical errors distract the reader. Inconsistencies in language choice (register), sentence structure, and/or word choice are present.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Writer is clearly in command of standard, written, academic English.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8BBAD2"/>
              <w:left w:val="single" w:sz="8" w:space="0" w:color="8BBAD2"/>
              <w:bottom w:val="single" w:sz="8" w:space="0" w:color="8BBAD2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10.0 %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Format</w:t>
            </w:r>
          </w:p>
        </w:tc>
        <w:tc>
          <w:tcPr>
            <w:tcW w:w="13860" w:type="dxa"/>
            <w:gridSpan w:val="6"/>
            <w:tcBorders>
              <w:top w:val="single" w:sz="8" w:space="0" w:color="8BBAD2"/>
              <w:left w:val="single" w:sz="8" w:space="0" w:color="8BBAD2"/>
              <w:bottom w:val="single" w:sz="8" w:space="0" w:color="8BBAD2"/>
              <w:right w:val="single" w:sz="8" w:space="0" w:color="8BBAD2"/>
            </w:tcBorders>
            <w:vAlign w:val="center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 </w:t>
            </w:r>
          </w:p>
        </w:tc>
      </w:tr>
      <w:tr w:rsidR="0090206E" w:rsidTr="0090206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5.0 %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Paper Format (Use of appropriate style for the major and assignment)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Template is not used appropriately, or documentation format is rarely followed correctly.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Appropriate template is used. Formatting is correct, although some minor errors may be present.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Appropriate template is fully used. There are virtually no errors in formatting style.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All format elements are correct.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  <w:tr w:rsidR="0090206E" w:rsidTr="0090206E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single" w:sz="8" w:space="0" w:color="C5C5C5"/>
              <w:bottom w:val="single" w:sz="8" w:space="0" w:color="C5C5C5"/>
            </w:tcBorders>
            <w:shd w:val="clear" w:color="auto" w:fill="F4F4F4"/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5.0 %</w:t>
            </w:r>
          </w:p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b/>
                <w:bCs/>
                <w:color w:val="434343"/>
                <w:lang w:eastAsia="ja-JP"/>
              </w:rPr>
              <w:t>Research Citations (In-text citations for paraphrasing and direct quotes, and reference page listing and formatting, as appropriate to assignment and style)</w:t>
            </w:r>
          </w:p>
        </w:tc>
        <w:tc>
          <w:tcPr>
            <w:tcW w:w="18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No reference page is included. No citations are used.</w:t>
            </w:r>
          </w:p>
        </w:tc>
        <w:tc>
          <w:tcPr>
            <w:tcW w:w="207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Reference page is present. Citations are inconsistently used.</w:t>
            </w:r>
          </w:p>
        </w:tc>
        <w:tc>
          <w:tcPr>
            <w:tcW w:w="189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Reference page is included and lists sources used in the paper. Sources are appropriately documented, although some errors may be present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  <w:r>
              <w:rPr>
                <w:rFonts w:ascii="Trebuchet MS" w:hAnsi="Trebuchet MS" w:cs="Trebuchet MS"/>
                <w:color w:val="434343"/>
                <w:lang w:eastAsia="ja-JP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2700" w:type="dxa"/>
            <w:tcBorders>
              <w:left w:val="single" w:sz="8" w:space="0" w:color="C5C5C5"/>
              <w:bottom w:val="single" w:sz="8" w:space="0" w:color="C5C5C5"/>
            </w:tcBorders>
          </w:tcPr>
          <w:p w:rsidR="0090206E" w:rsidRDefault="0090206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color w:val="434343"/>
                <w:lang w:eastAsia="ja-JP"/>
              </w:rPr>
            </w:pPr>
          </w:p>
        </w:tc>
      </w:tr>
    </w:tbl>
    <w:p w:rsidR="002B1D17" w:rsidRDefault="002B1D17">
      <w:bookmarkStart w:id="0" w:name="_GoBack"/>
      <w:bookmarkEnd w:id="0"/>
    </w:p>
    <w:sectPr w:rsidR="002B1D17" w:rsidSect="0090206E">
      <w:pgSz w:w="15840" w:h="12240" w:orient="landscape"/>
      <w:pgMar w:top="1800" w:right="1440" w:bottom="1800" w:left="144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6E"/>
    <w:rsid w:val="002B1D17"/>
    <w:rsid w:val="009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9F7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4342</Characters>
  <Application>Microsoft Macintosh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2016-05-12T22:48:00Z</dcterms:created>
  <dcterms:modified xsi:type="dcterms:W3CDTF">2016-05-12T22:50:00Z</dcterms:modified>
</cp:coreProperties>
</file>