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CF5" w:rsidRPr="00891CF5" w:rsidRDefault="00891CF5" w:rsidP="00891CF5">
      <w:pPr>
        <w:pBdr>
          <w:bottom w:val="single" w:sz="18" w:space="2" w:color="CAA445"/>
        </w:pBdr>
        <w:spacing w:before="336" w:after="120" w:line="264" w:lineRule="atLeast"/>
        <w:outlineLvl w:val="1"/>
        <w:rPr>
          <w:rFonts w:ascii="Arial" w:eastAsia="Times New Roman" w:hAnsi="Arial" w:cs="Arial"/>
          <w:b/>
          <w:bCs/>
          <w:color w:val="9B7501"/>
          <w:sz w:val="30"/>
          <w:szCs w:val="30"/>
        </w:rPr>
      </w:pPr>
      <w:r w:rsidRPr="00891CF5">
        <w:rPr>
          <w:rFonts w:ascii="Arial" w:eastAsia="Times New Roman" w:hAnsi="Arial" w:cs="Arial"/>
          <w:b/>
          <w:bCs/>
          <w:color w:val="9B7501"/>
          <w:sz w:val="30"/>
          <w:szCs w:val="30"/>
        </w:rPr>
        <w:t>Application: Beginning the Assessment Report: Conducting Descriptive Data Analysis: Part 1</w:t>
      </w:r>
    </w:p>
    <w:p w:rsidR="00891CF5" w:rsidRPr="00891CF5" w:rsidRDefault="00891CF5" w:rsidP="00891CF5">
      <w:pPr>
        <w:spacing w:before="240" w:after="0" w:line="320" w:lineRule="atLeast"/>
        <w:ind w:left="288"/>
        <w:rPr>
          <w:rFonts w:ascii="Arial" w:eastAsia="Times New Roman" w:hAnsi="Arial" w:cs="Arial"/>
          <w:color w:val="333333"/>
          <w:sz w:val="20"/>
          <w:szCs w:val="20"/>
        </w:rPr>
      </w:pPr>
      <w:r w:rsidRPr="00891CF5">
        <w:rPr>
          <w:rFonts w:ascii="Arial" w:eastAsia="Times New Roman" w:hAnsi="Arial" w:cs="Arial"/>
          <w:color w:val="333333"/>
          <w:sz w:val="20"/>
          <w:szCs w:val="20"/>
        </w:rPr>
        <w:t>Collecting data on individuals with suspected addictions is important, but without descriptive data analysis skills, the data remain extraneous bits of information with no framework on which to make a diagnosis or further recommendations.</w:t>
      </w:r>
    </w:p>
    <w:p w:rsidR="00891CF5" w:rsidRPr="00891CF5" w:rsidRDefault="00891CF5" w:rsidP="00891CF5">
      <w:pPr>
        <w:spacing w:before="240" w:after="0" w:line="320" w:lineRule="atLeast"/>
        <w:ind w:left="288"/>
        <w:rPr>
          <w:rFonts w:ascii="Arial" w:eastAsia="Times New Roman" w:hAnsi="Arial" w:cs="Arial"/>
          <w:color w:val="333333"/>
          <w:sz w:val="20"/>
          <w:szCs w:val="20"/>
        </w:rPr>
      </w:pPr>
      <w:r w:rsidRPr="00891CF5">
        <w:rPr>
          <w:rFonts w:ascii="Arial" w:eastAsia="Times New Roman" w:hAnsi="Arial" w:cs="Arial"/>
          <w:color w:val="333333"/>
          <w:sz w:val="20"/>
          <w:szCs w:val="20"/>
        </w:rPr>
        <w:t xml:space="preserve">The chapters from Lichtenberger, Mather, Kaufman, and Kaufman (2004) will help guide you as you start writing the first part of an assessment report. Based on the interview in the media from Week 3 </w:t>
      </w:r>
      <w:proofErr w:type="spellStart"/>
      <w:r w:rsidRPr="00891CF5">
        <w:rPr>
          <w:rFonts w:ascii="Arial" w:eastAsia="Times New Roman" w:hAnsi="Arial" w:cs="Arial"/>
          <w:color w:val="333333"/>
          <w:sz w:val="20"/>
          <w:szCs w:val="20"/>
        </w:rPr>
        <w:t>titled</w:t>
      </w:r>
      <w:r w:rsidRPr="00891CF5">
        <w:rPr>
          <w:rFonts w:ascii="Arial" w:eastAsia="Times New Roman" w:hAnsi="Arial" w:cs="Arial"/>
          <w:i/>
          <w:iCs/>
          <w:color w:val="333333"/>
          <w:sz w:val="20"/>
          <w:szCs w:val="20"/>
        </w:rPr>
        <w:t>Interviewing</w:t>
      </w:r>
      <w:proofErr w:type="spellEnd"/>
      <w:r w:rsidRPr="00891CF5">
        <w:rPr>
          <w:rFonts w:ascii="Arial" w:eastAsia="Times New Roman" w:hAnsi="Arial" w:cs="Arial"/>
          <w:i/>
          <w:iCs/>
          <w:color w:val="333333"/>
          <w:sz w:val="20"/>
          <w:szCs w:val="20"/>
        </w:rPr>
        <w:t xml:space="preserve"> Strategies</w:t>
      </w:r>
      <w:r w:rsidRPr="00891CF5">
        <w:rPr>
          <w:rFonts w:ascii="Arial" w:eastAsia="Times New Roman" w:hAnsi="Arial" w:cs="Arial"/>
          <w:color w:val="333333"/>
          <w:sz w:val="20"/>
          <w:szCs w:val="20"/>
        </w:rPr>
        <w:t> and a set of raw data provided in your Learning Resources this week, you will explore which descriptive data would need to be included in order to provide referral, background, and history on the individual depicted with a potential addiction.  </w:t>
      </w:r>
    </w:p>
    <w:p w:rsidR="00891CF5" w:rsidRPr="00891CF5" w:rsidRDefault="00891CF5" w:rsidP="00891CF5">
      <w:pPr>
        <w:spacing w:before="240" w:after="0" w:line="320" w:lineRule="atLeast"/>
        <w:ind w:left="288"/>
        <w:rPr>
          <w:rFonts w:ascii="Arial" w:eastAsia="Times New Roman" w:hAnsi="Arial" w:cs="Arial"/>
          <w:color w:val="333333"/>
          <w:sz w:val="20"/>
          <w:szCs w:val="20"/>
        </w:rPr>
      </w:pPr>
      <w:r w:rsidRPr="00891CF5">
        <w:rPr>
          <w:rFonts w:ascii="Arial" w:eastAsia="Times New Roman" w:hAnsi="Arial" w:cs="Arial"/>
          <w:b/>
          <w:bCs/>
          <w:color w:val="333333"/>
          <w:sz w:val="20"/>
          <w:szCs w:val="20"/>
        </w:rPr>
        <w:t>To prepare:</w:t>
      </w:r>
    </w:p>
    <w:p w:rsidR="00891CF5" w:rsidRPr="00891CF5" w:rsidRDefault="00891CF5" w:rsidP="00891CF5">
      <w:pPr>
        <w:spacing w:before="240" w:after="0" w:line="320" w:lineRule="atLeast"/>
        <w:ind w:left="288"/>
        <w:rPr>
          <w:rFonts w:ascii="Arial" w:eastAsia="Times New Roman" w:hAnsi="Arial" w:cs="Arial"/>
          <w:color w:val="333333"/>
          <w:sz w:val="20"/>
          <w:szCs w:val="20"/>
        </w:rPr>
      </w:pPr>
      <w:r w:rsidRPr="00891CF5">
        <w:rPr>
          <w:rFonts w:ascii="Arial" w:eastAsia="Times New Roman" w:hAnsi="Arial" w:cs="Arial"/>
          <w:color w:val="333333"/>
          <w:sz w:val="20"/>
          <w:szCs w:val="20"/>
        </w:rPr>
        <w:t>Review the Learning Resources, including the following:</w:t>
      </w:r>
    </w:p>
    <w:p w:rsidR="00891CF5" w:rsidRPr="00891CF5" w:rsidRDefault="00891CF5" w:rsidP="00891CF5">
      <w:pPr>
        <w:numPr>
          <w:ilvl w:val="0"/>
          <w:numId w:val="1"/>
        </w:numPr>
        <w:spacing w:before="240" w:after="0" w:line="288" w:lineRule="atLeast"/>
        <w:ind w:left="600"/>
        <w:rPr>
          <w:rFonts w:ascii="Arial" w:eastAsia="Times New Roman" w:hAnsi="Arial" w:cs="Arial"/>
          <w:color w:val="333333"/>
          <w:sz w:val="20"/>
          <w:szCs w:val="20"/>
        </w:rPr>
      </w:pPr>
      <w:r w:rsidRPr="00891CF5">
        <w:rPr>
          <w:rFonts w:ascii="Arial" w:eastAsia="Times New Roman" w:hAnsi="Arial" w:cs="Arial"/>
          <w:i/>
          <w:iCs/>
          <w:color w:val="333333"/>
          <w:sz w:val="20"/>
          <w:szCs w:val="20"/>
        </w:rPr>
        <w:t>Essentials of Assessment Report Writing</w:t>
      </w:r>
    </w:p>
    <w:p w:rsidR="00891CF5" w:rsidRPr="00891CF5" w:rsidRDefault="00891CF5" w:rsidP="00891CF5">
      <w:pPr>
        <w:numPr>
          <w:ilvl w:val="1"/>
          <w:numId w:val="2"/>
        </w:numPr>
        <w:spacing w:before="240" w:after="0" w:line="288" w:lineRule="atLeast"/>
        <w:ind w:left="1200"/>
        <w:rPr>
          <w:rFonts w:ascii="Arial" w:eastAsia="Times New Roman" w:hAnsi="Arial" w:cs="Arial"/>
          <w:color w:val="333333"/>
          <w:sz w:val="20"/>
          <w:szCs w:val="20"/>
        </w:rPr>
      </w:pPr>
      <w:r w:rsidRPr="00891CF5">
        <w:rPr>
          <w:rFonts w:ascii="Arial" w:eastAsia="Times New Roman" w:hAnsi="Arial" w:cs="Arial"/>
          <w:color w:val="333333"/>
          <w:sz w:val="20"/>
          <w:szCs w:val="20"/>
        </w:rPr>
        <w:t>Chapter 1, “Introduction and Overview”</w:t>
      </w:r>
    </w:p>
    <w:p w:rsidR="00891CF5" w:rsidRPr="00891CF5" w:rsidRDefault="00891CF5" w:rsidP="00891CF5">
      <w:pPr>
        <w:numPr>
          <w:ilvl w:val="1"/>
          <w:numId w:val="2"/>
        </w:numPr>
        <w:spacing w:before="240" w:after="0" w:line="288" w:lineRule="atLeast"/>
        <w:ind w:left="1200"/>
        <w:rPr>
          <w:rFonts w:ascii="Arial" w:eastAsia="Times New Roman" w:hAnsi="Arial" w:cs="Arial"/>
          <w:color w:val="333333"/>
          <w:sz w:val="20"/>
          <w:szCs w:val="20"/>
        </w:rPr>
      </w:pPr>
      <w:r w:rsidRPr="00891CF5">
        <w:rPr>
          <w:rFonts w:ascii="Arial" w:eastAsia="Times New Roman" w:hAnsi="Arial" w:cs="Arial"/>
          <w:color w:val="333333"/>
          <w:sz w:val="20"/>
          <w:szCs w:val="20"/>
        </w:rPr>
        <w:t>Chapter 2, “Technical Aspects of Writing”</w:t>
      </w:r>
    </w:p>
    <w:p w:rsidR="00891CF5" w:rsidRPr="00891CF5" w:rsidRDefault="00891CF5" w:rsidP="00891CF5">
      <w:pPr>
        <w:numPr>
          <w:ilvl w:val="1"/>
          <w:numId w:val="2"/>
        </w:numPr>
        <w:spacing w:before="240" w:after="0" w:line="288" w:lineRule="atLeast"/>
        <w:ind w:left="1200"/>
        <w:rPr>
          <w:rFonts w:ascii="Arial" w:eastAsia="Times New Roman" w:hAnsi="Arial" w:cs="Arial"/>
          <w:color w:val="333333"/>
          <w:sz w:val="20"/>
          <w:szCs w:val="20"/>
        </w:rPr>
      </w:pPr>
      <w:r w:rsidRPr="00891CF5">
        <w:rPr>
          <w:rFonts w:ascii="Arial" w:eastAsia="Times New Roman" w:hAnsi="Arial" w:cs="Arial"/>
          <w:color w:val="333333"/>
          <w:sz w:val="20"/>
          <w:szCs w:val="20"/>
        </w:rPr>
        <w:t>Chapter 3, “Referral and Background Information”</w:t>
      </w:r>
    </w:p>
    <w:p w:rsidR="00891CF5" w:rsidRPr="00891CF5" w:rsidRDefault="00891CF5" w:rsidP="00891CF5">
      <w:pPr>
        <w:numPr>
          <w:ilvl w:val="0"/>
          <w:numId w:val="2"/>
        </w:numPr>
        <w:spacing w:before="240" w:after="0" w:line="288" w:lineRule="atLeast"/>
        <w:ind w:left="600"/>
        <w:rPr>
          <w:rFonts w:ascii="Arial" w:eastAsia="Times New Roman" w:hAnsi="Arial" w:cs="Arial"/>
          <w:color w:val="333333"/>
          <w:sz w:val="20"/>
          <w:szCs w:val="20"/>
        </w:rPr>
      </w:pPr>
      <w:r w:rsidRPr="00891CF5">
        <w:rPr>
          <w:rFonts w:ascii="Arial" w:eastAsia="Times New Roman" w:hAnsi="Arial" w:cs="Arial"/>
          <w:color w:val="333333"/>
          <w:sz w:val="20"/>
          <w:szCs w:val="20"/>
        </w:rPr>
        <w:t>Watch the media from Week 3 titled </w:t>
      </w:r>
      <w:r w:rsidRPr="00891CF5">
        <w:rPr>
          <w:rFonts w:ascii="Arial" w:eastAsia="Times New Roman" w:hAnsi="Arial" w:cs="Arial"/>
          <w:i/>
          <w:iCs/>
          <w:color w:val="333333"/>
          <w:sz w:val="20"/>
          <w:szCs w:val="20"/>
        </w:rPr>
        <w:t>Interviewing Strategies</w:t>
      </w:r>
      <w:r w:rsidRPr="00891CF5">
        <w:rPr>
          <w:rFonts w:ascii="Arial" w:eastAsia="Times New Roman" w:hAnsi="Arial" w:cs="Arial"/>
          <w:color w:val="333333"/>
          <w:sz w:val="20"/>
          <w:szCs w:val="20"/>
        </w:rPr>
        <w:t>.</w:t>
      </w:r>
    </w:p>
    <w:p w:rsidR="00891CF5" w:rsidRPr="00891CF5" w:rsidRDefault="00891CF5" w:rsidP="00891CF5">
      <w:pPr>
        <w:numPr>
          <w:ilvl w:val="0"/>
          <w:numId w:val="2"/>
        </w:numPr>
        <w:spacing w:before="240" w:after="0" w:line="288" w:lineRule="atLeast"/>
        <w:ind w:left="600"/>
        <w:rPr>
          <w:rFonts w:ascii="Arial" w:eastAsia="Times New Roman" w:hAnsi="Arial" w:cs="Arial"/>
          <w:color w:val="333333"/>
          <w:sz w:val="20"/>
          <w:szCs w:val="20"/>
        </w:rPr>
      </w:pPr>
      <w:r w:rsidRPr="00891CF5">
        <w:rPr>
          <w:rFonts w:ascii="Arial" w:eastAsia="Times New Roman" w:hAnsi="Arial" w:cs="Arial"/>
          <w:color w:val="333333"/>
          <w:sz w:val="20"/>
          <w:szCs w:val="20"/>
        </w:rPr>
        <w:t>Score the raw data provided in the document “Simple Screening Instrument for Substance Abuse Disorders”</w:t>
      </w:r>
    </w:p>
    <w:p w:rsidR="00891CF5" w:rsidRPr="00891CF5" w:rsidRDefault="00891CF5" w:rsidP="00891CF5">
      <w:pPr>
        <w:spacing w:before="240" w:after="0" w:line="320" w:lineRule="atLeast"/>
        <w:ind w:left="288"/>
        <w:rPr>
          <w:rFonts w:ascii="Arial" w:eastAsia="Times New Roman" w:hAnsi="Arial" w:cs="Arial"/>
          <w:color w:val="333333"/>
          <w:sz w:val="20"/>
          <w:szCs w:val="20"/>
        </w:rPr>
      </w:pPr>
      <w:r w:rsidRPr="00891CF5">
        <w:rPr>
          <w:rFonts w:ascii="Arial" w:eastAsia="Times New Roman" w:hAnsi="Arial" w:cs="Arial"/>
          <w:color w:val="333333"/>
          <w:sz w:val="20"/>
          <w:szCs w:val="20"/>
        </w:rPr>
        <w:t>Complete Part 1 of the assessment report after scoring the raw data using the instructions provided.</w:t>
      </w:r>
    </w:p>
    <w:p w:rsidR="00891CF5" w:rsidRPr="00891CF5" w:rsidRDefault="00891CF5" w:rsidP="00891CF5">
      <w:pPr>
        <w:spacing w:before="240" w:after="0" w:line="320" w:lineRule="atLeast"/>
        <w:ind w:left="288"/>
        <w:rPr>
          <w:rFonts w:ascii="Arial" w:eastAsia="Times New Roman" w:hAnsi="Arial" w:cs="Arial"/>
          <w:color w:val="333333"/>
          <w:sz w:val="20"/>
          <w:szCs w:val="20"/>
        </w:rPr>
      </w:pPr>
      <w:r w:rsidRPr="00891CF5">
        <w:rPr>
          <w:rFonts w:ascii="Arial" w:eastAsia="Times New Roman" w:hAnsi="Arial" w:cs="Arial"/>
          <w:b/>
          <w:bCs/>
          <w:color w:val="333333"/>
          <w:sz w:val="20"/>
          <w:szCs w:val="20"/>
        </w:rPr>
        <w:t>Assignment Directions:</w:t>
      </w:r>
    </w:p>
    <w:p w:rsidR="00891CF5" w:rsidRPr="00891CF5" w:rsidRDefault="00891CF5" w:rsidP="00891CF5">
      <w:pPr>
        <w:spacing w:before="240" w:after="0" w:line="320" w:lineRule="atLeast"/>
        <w:ind w:left="288"/>
        <w:rPr>
          <w:rFonts w:ascii="Arial" w:eastAsia="Times New Roman" w:hAnsi="Arial" w:cs="Arial"/>
          <w:color w:val="333333"/>
          <w:sz w:val="20"/>
          <w:szCs w:val="20"/>
        </w:rPr>
      </w:pPr>
      <w:r w:rsidRPr="00891CF5">
        <w:rPr>
          <w:rFonts w:ascii="Arial" w:eastAsia="Times New Roman" w:hAnsi="Arial" w:cs="Arial"/>
          <w:b/>
          <w:bCs/>
          <w:color w:val="333333"/>
          <w:sz w:val="20"/>
          <w:szCs w:val="20"/>
        </w:rPr>
        <w:t>Submit by Day 7</w:t>
      </w:r>
      <w:r w:rsidRPr="00891CF5">
        <w:rPr>
          <w:rFonts w:ascii="Arial" w:eastAsia="Times New Roman" w:hAnsi="Arial" w:cs="Arial"/>
          <w:color w:val="333333"/>
          <w:sz w:val="20"/>
          <w:szCs w:val="20"/>
        </w:rPr>
        <w:t> Part 1 of the assessment report, Descriptive Data Analysis, including the following:</w:t>
      </w:r>
    </w:p>
    <w:p w:rsidR="00891CF5" w:rsidRPr="00891CF5" w:rsidRDefault="00891CF5" w:rsidP="00891CF5">
      <w:pPr>
        <w:numPr>
          <w:ilvl w:val="0"/>
          <w:numId w:val="3"/>
        </w:numPr>
        <w:spacing w:before="240" w:after="0" w:line="288" w:lineRule="atLeast"/>
        <w:ind w:left="600"/>
        <w:rPr>
          <w:rFonts w:ascii="Arial" w:eastAsia="Times New Roman" w:hAnsi="Arial" w:cs="Arial"/>
          <w:color w:val="333333"/>
          <w:sz w:val="20"/>
          <w:szCs w:val="20"/>
        </w:rPr>
      </w:pPr>
      <w:r w:rsidRPr="00891CF5">
        <w:rPr>
          <w:rFonts w:ascii="Arial" w:eastAsia="Times New Roman" w:hAnsi="Arial" w:cs="Arial"/>
          <w:color w:val="333333"/>
          <w:sz w:val="20"/>
          <w:szCs w:val="20"/>
        </w:rPr>
        <w:t>History of the client (approximately 1–2 pages)</w:t>
      </w:r>
    </w:p>
    <w:p w:rsidR="00891CF5" w:rsidRPr="00891CF5" w:rsidRDefault="00891CF5" w:rsidP="00891CF5">
      <w:pPr>
        <w:numPr>
          <w:ilvl w:val="0"/>
          <w:numId w:val="3"/>
        </w:numPr>
        <w:spacing w:before="240" w:after="0" w:line="288" w:lineRule="atLeast"/>
        <w:ind w:left="600"/>
        <w:rPr>
          <w:rFonts w:ascii="Arial" w:eastAsia="Times New Roman" w:hAnsi="Arial" w:cs="Arial"/>
          <w:color w:val="333333"/>
          <w:sz w:val="20"/>
          <w:szCs w:val="20"/>
        </w:rPr>
      </w:pPr>
      <w:r w:rsidRPr="00891CF5">
        <w:rPr>
          <w:rFonts w:ascii="Arial" w:eastAsia="Times New Roman" w:hAnsi="Arial" w:cs="Arial"/>
          <w:color w:val="333333"/>
          <w:sz w:val="20"/>
          <w:szCs w:val="20"/>
        </w:rPr>
        <w:t>Referral (approximately 1–2 paragraphs)</w:t>
      </w:r>
    </w:p>
    <w:p w:rsidR="00891CF5" w:rsidRPr="00891CF5" w:rsidRDefault="00891CF5" w:rsidP="00891CF5">
      <w:pPr>
        <w:numPr>
          <w:ilvl w:val="0"/>
          <w:numId w:val="3"/>
        </w:numPr>
        <w:spacing w:before="240" w:after="0" w:line="288" w:lineRule="atLeast"/>
        <w:ind w:left="600"/>
        <w:rPr>
          <w:rFonts w:ascii="Arial" w:eastAsia="Times New Roman" w:hAnsi="Arial" w:cs="Arial"/>
          <w:color w:val="333333"/>
          <w:sz w:val="20"/>
          <w:szCs w:val="20"/>
        </w:rPr>
      </w:pPr>
      <w:r w:rsidRPr="00891CF5">
        <w:rPr>
          <w:rFonts w:ascii="Arial" w:eastAsia="Times New Roman" w:hAnsi="Arial" w:cs="Arial"/>
          <w:color w:val="333333"/>
          <w:sz w:val="20"/>
          <w:szCs w:val="20"/>
        </w:rPr>
        <w:t>Background information (approximately 1–2 pages)</w:t>
      </w:r>
    </w:p>
    <w:p w:rsidR="00891CF5" w:rsidRPr="00891CF5" w:rsidRDefault="00891CF5" w:rsidP="00891CF5">
      <w:pPr>
        <w:numPr>
          <w:ilvl w:val="0"/>
          <w:numId w:val="3"/>
        </w:numPr>
        <w:spacing w:before="240" w:after="0" w:line="288" w:lineRule="atLeast"/>
        <w:ind w:left="600"/>
        <w:rPr>
          <w:rFonts w:ascii="Arial" w:eastAsia="Times New Roman" w:hAnsi="Arial" w:cs="Arial"/>
          <w:color w:val="333333"/>
          <w:sz w:val="20"/>
          <w:szCs w:val="20"/>
        </w:rPr>
      </w:pPr>
      <w:r w:rsidRPr="00891CF5">
        <w:rPr>
          <w:rFonts w:ascii="Arial" w:eastAsia="Times New Roman" w:hAnsi="Arial" w:cs="Arial"/>
          <w:color w:val="333333"/>
          <w:sz w:val="20"/>
          <w:szCs w:val="20"/>
        </w:rPr>
        <w:t>Description of data findings (approximately 1 page)</w:t>
      </w:r>
    </w:p>
    <w:p w:rsidR="00EB592B" w:rsidRDefault="00891CF5">
      <w:pPr>
        <w:rPr>
          <w:rFonts w:ascii="Arial" w:hAnsi="Arial" w:cs="Arial"/>
          <w:color w:val="333333"/>
          <w:sz w:val="20"/>
          <w:szCs w:val="20"/>
        </w:rPr>
      </w:pPr>
      <w:r>
        <w:rPr>
          <w:rFonts w:ascii="Arial" w:hAnsi="Arial" w:cs="Arial"/>
          <w:color w:val="333333"/>
          <w:sz w:val="20"/>
          <w:szCs w:val="20"/>
        </w:rPr>
        <w:lastRenderedPageBreak/>
        <w:t>Laureate Education (Producer). (2012a).</w:t>
      </w:r>
      <w:r>
        <w:rPr>
          <w:rStyle w:val="apple-converted-space"/>
          <w:rFonts w:ascii="Arial" w:hAnsi="Arial" w:cs="Arial"/>
          <w:color w:val="333333"/>
          <w:sz w:val="20"/>
          <w:szCs w:val="20"/>
        </w:rPr>
        <w:t> </w:t>
      </w:r>
      <w:r>
        <w:rPr>
          <w:rStyle w:val="Emphasis"/>
          <w:rFonts w:ascii="Arial" w:hAnsi="Arial" w:cs="Arial"/>
          <w:color w:val="333333"/>
          <w:sz w:val="20"/>
          <w:szCs w:val="20"/>
        </w:rPr>
        <w:t>Interviewing techniques</w:t>
      </w:r>
      <w:r>
        <w:rPr>
          <w:rStyle w:val="apple-converted-space"/>
          <w:rFonts w:ascii="Arial" w:hAnsi="Arial" w:cs="Arial"/>
          <w:i/>
          <w:iCs/>
          <w:color w:val="333333"/>
          <w:sz w:val="20"/>
          <w:szCs w:val="20"/>
        </w:rPr>
        <w:t> </w:t>
      </w:r>
      <w:r>
        <w:rPr>
          <w:rFonts w:ascii="Arial" w:hAnsi="Arial" w:cs="Arial"/>
          <w:color w:val="333333"/>
          <w:sz w:val="20"/>
          <w:szCs w:val="20"/>
        </w:rPr>
        <w:t>[Video file]</w:t>
      </w:r>
      <w:r>
        <w:rPr>
          <w:rStyle w:val="Emphasis"/>
          <w:rFonts w:ascii="Arial" w:hAnsi="Arial" w:cs="Arial"/>
          <w:color w:val="333333"/>
          <w:sz w:val="20"/>
          <w:szCs w:val="20"/>
        </w:rPr>
        <w:t>.</w:t>
      </w:r>
      <w:r>
        <w:rPr>
          <w:rStyle w:val="apple-converted-space"/>
          <w:rFonts w:ascii="Arial" w:hAnsi="Arial" w:cs="Arial"/>
          <w:color w:val="333333"/>
          <w:sz w:val="20"/>
          <w:szCs w:val="20"/>
        </w:rPr>
        <w:t> </w:t>
      </w:r>
      <w:r>
        <w:rPr>
          <w:rFonts w:ascii="Arial" w:hAnsi="Arial" w:cs="Arial"/>
          <w:color w:val="333333"/>
          <w:sz w:val="20"/>
          <w:szCs w:val="20"/>
        </w:rPr>
        <w:t xml:space="preserve">Retrieved from </w:t>
      </w:r>
      <w:hyperlink r:id="rId5" w:history="1">
        <w:r w:rsidR="009F78A5" w:rsidRPr="00995CEA">
          <w:rPr>
            <w:rStyle w:val="Hyperlink"/>
            <w:rFonts w:ascii="Arial" w:hAnsi="Arial" w:cs="Arial"/>
            <w:sz w:val="20"/>
            <w:szCs w:val="20"/>
          </w:rPr>
          <w:t>https://class.waldenu.edu</w:t>
        </w:r>
      </w:hyperlink>
    </w:p>
    <w:p w:rsidR="009F78A5" w:rsidRPr="009F78A5" w:rsidRDefault="009F78A5" w:rsidP="009F78A5">
      <w:pPr>
        <w:numPr>
          <w:ilvl w:val="0"/>
          <w:numId w:val="4"/>
        </w:numPr>
      </w:pPr>
      <w:r w:rsidRPr="009F78A5">
        <w:t>Lichtenberger, E. O., Mather, N., Kaufman, N. L., &amp; Kaufman, A. S. (2004). </w:t>
      </w:r>
      <w:r w:rsidRPr="009F78A5">
        <w:rPr>
          <w:i/>
          <w:iCs/>
        </w:rPr>
        <w:t>Essentials of assessment report writing</w:t>
      </w:r>
      <w:r w:rsidRPr="009F78A5">
        <w:t>. Hoboken, NJ: Wiley. </w:t>
      </w:r>
      <w:r w:rsidRPr="009F78A5">
        <w:br/>
        <w:t>Retrieved from the Walden Library databases.</w:t>
      </w:r>
    </w:p>
    <w:p w:rsidR="009F78A5" w:rsidRPr="009F78A5" w:rsidRDefault="009F78A5" w:rsidP="009F78A5">
      <w:pPr>
        <w:numPr>
          <w:ilvl w:val="1"/>
          <w:numId w:val="5"/>
        </w:numPr>
      </w:pPr>
      <w:r w:rsidRPr="009F78A5">
        <w:t>Chapter 1, “Introduction and Overview”</w:t>
      </w:r>
      <w:r w:rsidRPr="009F78A5">
        <w:br/>
      </w:r>
      <w:r w:rsidRPr="009F78A5">
        <w:br/>
      </w:r>
      <w:r w:rsidRPr="009F78A5">
        <w:rPr>
          <w:b/>
          <w:bCs/>
        </w:rPr>
        <w:t>Focus on</w:t>
      </w:r>
      <w:r w:rsidRPr="009F78A5">
        <w:t> the goals of report writing and how the general goals of any psychological report pertain to individuals facing addictions.</w:t>
      </w:r>
    </w:p>
    <w:p w:rsidR="009F78A5" w:rsidRPr="009F78A5" w:rsidRDefault="009F78A5" w:rsidP="009F78A5">
      <w:pPr>
        <w:numPr>
          <w:ilvl w:val="1"/>
          <w:numId w:val="5"/>
        </w:numPr>
      </w:pPr>
      <w:r w:rsidRPr="009F78A5">
        <w:t>Chapter 2, “Technical Aspects of Writing”</w:t>
      </w:r>
      <w:r w:rsidRPr="009F78A5">
        <w:br/>
      </w:r>
      <w:r w:rsidRPr="009F78A5">
        <w:br/>
        <w:t>Although they are not specific to the addictions field, </w:t>
      </w:r>
      <w:r w:rsidRPr="009F78A5">
        <w:rPr>
          <w:b/>
          <w:bCs/>
        </w:rPr>
        <w:t>focus on the </w:t>
      </w:r>
      <w:r w:rsidRPr="009F78A5">
        <w:t>helpful “Don’t Forget” sidebar boxes on eliminating redundancies, shortening sentences, and other writing tips.</w:t>
      </w:r>
    </w:p>
    <w:p w:rsidR="009F78A5" w:rsidRPr="009F78A5" w:rsidRDefault="009F78A5" w:rsidP="009F78A5">
      <w:pPr>
        <w:numPr>
          <w:ilvl w:val="1"/>
          <w:numId w:val="5"/>
        </w:numPr>
      </w:pPr>
      <w:r w:rsidRPr="009F78A5">
        <w:t>Chapter 3, “Referral and Background Information”</w:t>
      </w:r>
      <w:r w:rsidRPr="009F78A5">
        <w:br/>
      </w:r>
      <w:r w:rsidRPr="009F78A5">
        <w:br/>
      </w:r>
      <w:r w:rsidRPr="009F78A5">
        <w:rPr>
          <w:b/>
          <w:bCs/>
        </w:rPr>
        <w:t>Focus on</w:t>
      </w:r>
      <w:r w:rsidRPr="009F78A5">
        <w:t> critical information and language needed for the referral and background section of a report as well as the standard framework for this section of a report, including common headings. Some of the information refers more to education settings, but focus on Rapid References 3.6 and 3.7. </w:t>
      </w:r>
    </w:p>
    <w:p w:rsidR="009F78A5" w:rsidRPr="009F78A5" w:rsidRDefault="009F78A5" w:rsidP="009F78A5">
      <w:pPr>
        <w:numPr>
          <w:ilvl w:val="0"/>
          <w:numId w:val="6"/>
        </w:numPr>
      </w:pPr>
      <w:r w:rsidRPr="009F78A5">
        <w:t>Perkinson, R. R. (2012). </w:t>
      </w:r>
      <w:r w:rsidRPr="009F78A5">
        <w:rPr>
          <w:i/>
          <w:iCs/>
        </w:rPr>
        <w:t>Chemical dependency counseling: A practical guide</w:t>
      </w:r>
      <w:r w:rsidRPr="009F78A5">
        <w:t xml:space="preserve"> (4th </w:t>
      </w:r>
      <w:proofErr w:type="gramStart"/>
      <w:r w:rsidRPr="009F78A5">
        <w:t>ed</w:t>
      </w:r>
      <w:proofErr w:type="gramEnd"/>
      <w:r w:rsidRPr="009F78A5">
        <w:t>.). Thousand Oaks, CA: SAGE.</w:t>
      </w:r>
    </w:p>
    <w:p w:rsidR="009F78A5" w:rsidRPr="009F78A5" w:rsidRDefault="009F78A5" w:rsidP="009F78A5">
      <w:pPr>
        <w:numPr>
          <w:ilvl w:val="1"/>
          <w:numId w:val="7"/>
        </w:numPr>
      </w:pPr>
      <w:r w:rsidRPr="009F78A5">
        <w:t>Appendix 6, “Sample Biopsychosocial Interview”</w:t>
      </w:r>
    </w:p>
    <w:p w:rsidR="009F78A5" w:rsidRPr="009F78A5" w:rsidRDefault="009F78A5" w:rsidP="009F78A5">
      <w:pPr>
        <w:numPr>
          <w:ilvl w:val="0"/>
          <w:numId w:val="7"/>
        </w:numPr>
      </w:pPr>
      <w:r w:rsidRPr="009F78A5">
        <w:t>Stewart, S. H., &amp; Connors, G. J. (2004–2005). Screening for alcohol problems: What makes a test effective? </w:t>
      </w:r>
      <w:r w:rsidRPr="009F78A5">
        <w:rPr>
          <w:i/>
          <w:iCs/>
        </w:rPr>
        <w:t>Alcohol Research &amp; Health, 28</w:t>
      </w:r>
      <w:r w:rsidRPr="009F78A5">
        <w:t>(1), 5–16. </w:t>
      </w:r>
      <w:r w:rsidRPr="009F78A5">
        <w:br/>
        <w:t>Retrieved from the Walden Library databases. </w:t>
      </w:r>
      <w:r w:rsidRPr="009F78A5">
        <w:br/>
      </w:r>
      <w:r w:rsidRPr="009F78A5">
        <w:br/>
      </w:r>
      <w:r w:rsidRPr="009F78A5">
        <w:rPr>
          <w:b/>
          <w:bCs/>
        </w:rPr>
        <w:t>Focus on</w:t>
      </w:r>
      <w:r w:rsidRPr="009F78A5">
        <w:t> which addictions and disorders are and are not amenable to screening. For your Discussion, focus on the description of cutoff scores and their meaning and implications for next steps.</w:t>
      </w:r>
    </w:p>
    <w:p w:rsidR="009F78A5" w:rsidRPr="009F78A5" w:rsidRDefault="009F78A5" w:rsidP="009F78A5">
      <w:pPr>
        <w:numPr>
          <w:ilvl w:val="0"/>
          <w:numId w:val="7"/>
        </w:numPr>
      </w:pPr>
      <w:hyperlink r:id="rId6" w:history="1">
        <w:r w:rsidRPr="009F78A5">
          <w:rPr>
            <w:rStyle w:val="Hyperlink"/>
          </w:rPr>
          <w:t>Simple Screening Instrument for Substance Abuse Disorders</w:t>
        </w:r>
      </w:hyperlink>
      <w:r w:rsidRPr="009F78A5">
        <w:t> (Word document)</w:t>
      </w:r>
    </w:p>
    <w:p w:rsidR="009F78A5" w:rsidRDefault="009F78A5">
      <w:bookmarkStart w:id="0" w:name="_GoBack"/>
      <w:bookmarkEnd w:id="0"/>
    </w:p>
    <w:sectPr w:rsidR="009F7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1717"/>
    <w:multiLevelType w:val="multilevel"/>
    <w:tmpl w:val="014C0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E39CE"/>
    <w:multiLevelType w:val="multilevel"/>
    <w:tmpl w:val="BAF28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205986"/>
    <w:multiLevelType w:val="multilevel"/>
    <w:tmpl w:val="85383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A77B4A"/>
    <w:multiLevelType w:val="multilevel"/>
    <w:tmpl w:val="12B8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3"/>
  </w:num>
  <w:num w:numId="4">
    <w:abstractNumId w:val="2"/>
  </w:num>
  <w:num w:numId="5">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1"/>
  </w:num>
  <w:num w:numId="7">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UxNjOzNDY1M7C0NLFQ0lEKTi0uzszPAykwrAUAXwBo5CwAAAA="/>
  </w:docVars>
  <w:rsids>
    <w:rsidRoot w:val="00891CF5"/>
    <w:rsid w:val="00891CF5"/>
    <w:rsid w:val="009F78A5"/>
    <w:rsid w:val="00EB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C81DD-2049-41A4-AECB-2A16B354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1CF5"/>
  </w:style>
  <w:style w:type="character" w:styleId="Emphasis">
    <w:name w:val="Emphasis"/>
    <w:basedOn w:val="DefaultParagraphFont"/>
    <w:uiPriority w:val="20"/>
    <w:qFormat/>
    <w:rsid w:val="00891CF5"/>
    <w:rPr>
      <w:i/>
      <w:iCs/>
    </w:rPr>
  </w:style>
  <w:style w:type="character" w:styleId="Hyperlink">
    <w:name w:val="Hyperlink"/>
    <w:basedOn w:val="DefaultParagraphFont"/>
    <w:uiPriority w:val="99"/>
    <w:unhideWhenUsed/>
    <w:rsid w:val="009F78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48040">
      <w:bodyDiv w:val="1"/>
      <w:marLeft w:val="0"/>
      <w:marRight w:val="0"/>
      <w:marTop w:val="0"/>
      <w:marBottom w:val="0"/>
      <w:divBdr>
        <w:top w:val="none" w:sz="0" w:space="0" w:color="auto"/>
        <w:left w:val="none" w:sz="0" w:space="0" w:color="auto"/>
        <w:bottom w:val="none" w:sz="0" w:space="0" w:color="auto"/>
        <w:right w:val="none" w:sz="0" w:space="0" w:color="auto"/>
      </w:divBdr>
    </w:div>
    <w:div w:id="147170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ass.waldenu.edu/bbcswebdav/institution/USW1/201670_05/BS_PSYC/PSYC_3011/readings/PSYC_3011_Week05_substance.doc" TargetMode="External"/><Relationship Id="rId5" Type="http://schemas.openxmlformats.org/officeDocument/2006/relationships/hyperlink" Target="https://class.walden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2016-08-12T00:51:00Z</dcterms:created>
  <dcterms:modified xsi:type="dcterms:W3CDTF">2016-08-12T01:06:00Z</dcterms:modified>
</cp:coreProperties>
</file>