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C6" w:rsidRPr="00032091" w:rsidRDefault="00251EC6" w:rsidP="00251EC6">
      <w:pPr>
        <w:spacing w:line="480" w:lineRule="auto"/>
        <w:jc w:val="center"/>
        <w:rPr>
          <w:color w:val="000000"/>
        </w:rPr>
      </w:pPr>
      <w:bookmarkStart w:id="0" w:name="_GoBack"/>
      <w:bookmarkEnd w:id="0"/>
      <w:r w:rsidRPr="00032091">
        <w:rPr>
          <w:color w:val="000000"/>
        </w:rPr>
        <w:t>Attitude Survey</w:t>
      </w:r>
    </w:p>
    <w:p w:rsidR="00251EC6" w:rsidRPr="00032091" w:rsidRDefault="00251EC6" w:rsidP="00251EC6">
      <w:pPr>
        <w:spacing w:line="480" w:lineRule="auto"/>
        <w:jc w:val="center"/>
        <w:rPr>
          <w:color w:val="000000"/>
        </w:rPr>
      </w:pPr>
      <w:r>
        <w:rPr>
          <w:color w:val="000000"/>
        </w:rPr>
        <w:t xml:space="preserve">Student </w:t>
      </w:r>
    </w:p>
    <w:p w:rsidR="00251EC6" w:rsidRDefault="00251EC6" w:rsidP="00251EC6">
      <w:pPr>
        <w:spacing w:line="480" w:lineRule="auto"/>
        <w:jc w:val="center"/>
        <w:rPr>
          <w:color w:val="000000"/>
        </w:rPr>
      </w:pPr>
      <w:r>
        <w:rPr>
          <w:color w:val="000000"/>
        </w:rPr>
        <w:t>June 17, 2013</w:t>
      </w:r>
    </w:p>
    <w:p w:rsidR="00251EC6" w:rsidRDefault="00251EC6" w:rsidP="00251EC6">
      <w:pPr>
        <w:spacing w:line="480" w:lineRule="auto"/>
        <w:jc w:val="center"/>
        <w:rPr>
          <w:color w:val="000000"/>
        </w:rPr>
      </w:pPr>
      <w:r>
        <w:rPr>
          <w:color w:val="000000"/>
        </w:rPr>
        <w:t>PSY/475</w:t>
      </w:r>
    </w:p>
    <w:p w:rsidR="00251EC6" w:rsidRPr="00032091" w:rsidRDefault="00251EC6" w:rsidP="00251EC6">
      <w:pPr>
        <w:spacing w:line="480" w:lineRule="auto"/>
        <w:jc w:val="center"/>
        <w:rPr>
          <w:color w:val="000000"/>
        </w:rPr>
      </w:pPr>
      <w:r>
        <w:rPr>
          <w:color w:val="000000"/>
        </w:rPr>
        <w:t>Maggie Boone-</w:t>
      </w:r>
      <w:proofErr w:type="spellStart"/>
      <w:r>
        <w:rPr>
          <w:color w:val="000000"/>
        </w:rPr>
        <w:t>Tribout</w:t>
      </w:r>
      <w:proofErr w:type="spellEnd"/>
    </w:p>
    <w:p w:rsidR="00251EC6" w:rsidRPr="00032091" w:rsidRDefault="00251EC6" w:rsidP="00251EC6">
      <w:pPr>
        <w:spacing w:line="480" w:lineRule="auto"/>
        <w:jc w:val="center"/>
        <w:rPr>
          <w:color w:val="000000"/>
        </w:rPr>
      </w:pPr>
      <w:r w:rsidRPr="00032091">
        <w:rPr>
          <w:color w:val="000000"/>
        </w:rPr>
        <w:br w:type="page"/>
      </w:r>
      <w:r w:rsidRPr="00032091">
        <w:rPr>
          <w:color w:val="000000"/>
        </w:rPr>
        <w:lastRenderedPageBreak/>
        <w:t>Attitude Survey</w:t>
      </w:r>
    </w:p>
    <w:p w:rsidR="00251EC6" w:rsidRPr="00032091" w:rsidRDefault="00251EC6" w:rsidP="00251EC6">
      <w:pPr>
        <w:spacing w:line="480" w:lineRule="auto"/>
        <w:rPr>
          <w:color w:val="000000"/>
        </w:rPr>
      </w:pPr>
      <w:r w:rsidRPr="00032091">
        <w:rPr>
          <w:color w:val="000000"/>
        </w:rPr>
        <w:tab/>
      </w:r>
      <w:r>
        <w:rPr>
          <w:color w:val="000000"/>
        </w:rPr>
        <w:t xml:space="preserve">Issues of national security and the privacy of American citizens have been at the forefront of the news recently due to a large-scale intelligence leak by Edward Snowden, the former CIA employee and whistleblower who published information on NSA surveillance practices. This attitude survey was designed to investigate opinions regarding the intent and Constitutionality of the right to privacy and whether the intelligence community has violated such rights under the guise of national security. The purpose of the survey, methods of design, and scoring and reporting are reviewed in detail.  </w:t>
      </w:r>
    </w:p>
    <w:p w:rsidR="00251EC6" w:rsidRPr="00BF0B87" w:rsidRDefault="00251EC6" w:rsidP="00251EC6">
      <w:pPr>
        <w:spacing w:line="480" w:lineRule="auto"/>
        <w:jc w:val="center"/>
        <w:rPr>
          <w:b/>
          <w:color w:val="000000"/>
        </w:rPr>
      </w:pPr>
      <w:r w:rsidRPr="00BF0B87">
        <w:rPr>
          <w:b/>
          <w:color w:val="000000"/>
        </w:rPr>
        <w:t>Purpose of the Survey</w:t>
      </w:r>
    </w:p>
    <w:p w:rsidR="00251EC6" w:rsidRDefault="00251EC6" w:rsidP="00251EC6">
      <w:pPr>
        <w:spacing w:line="480" w:lineRule="auto"/>
        <w:rPr>
          <w:color w:val="000000"/>
        </w:rPr>
      </w:pPr>
      <w:r>
        <w:rPr>
          <w:color w:val="000000"/>
        </w:rPr>
        <w:tab/>
        <w:t xml:space="preserve">The purpose of the survey is to investigate attitudes toward privacy and national security and whether the Constitutional rights of American citizens have been violated by the intelligence community with respect to policies of surveillance. The survey was designed to assess differing opinions on privacy and national security by gender and age in an online university community setting. </w:t>
      </w:r>
      <w:proofErr w:type="spellStart"/>
      <w:r>
        <w:t>Covel</w:t>
      </w:r>
      <w:proofErr w:type="spellEnd"/>
      <w:r>
        <w:t xml:space="preserve"> (2003) states that, “support for government interception of cell phone and e-mail communication, for instance, increases with age. Only 34 percent of 18- to 24-year-olds are in favor of expanded communication monitoring, while 54 percent of those over 65 support the idea” (p. 14). </w:t>
      </w:r>
      <w:r>
        <w:rPr>
          <w:color w:val="000000"/>
        </w:rPr>
        <w:t>While the issue of national security is quite broad and has been discussed in depth over the past decade, particularly after the events of September 11</w:t>
      </w:r>
      <w:r w:rsidRPr="00022167">
        <w:rPr>
          <w:color w:val="000000"/>
          <w:vertAlign w:val="superscript"/>
        </w:rPr>
        <w:t>th</w:t>
      </w:r>
      <w:r>
        <w:rPr>
          <w:color w:val="000000"/>
        </w:rPr>
        <w:t>, the survey itself pertains to attitudes associated with the recent events of Verizon, the NSA and whistleblower, Edward Snowden. The survey items, therefore, are designed with the intention of determining attitudes of privacy as it relates specifically to the most recent coverage of the issue in the news.</w:t>
      </w:r>
    </w:p>
    <w:p w:rsidR="00251EC6" w:rsidRDefault="00251EC6" w:rsidP="00251EC6">
      <w:pPr>
        <w:spacing w:line="480" w:lineRule="auto"/>
        <w:rPr>
          <w:color w:val="000000"/>
        </w:rPr>
      </w:pPr>
      <w:r>
        <w:rPr>
          <w:color w:val="000000"/>
        </w:rPr>
        <w:t xml:space="preserve"> </w:t>
      </w:r>
    </w:p>
    <w:p w:rsidR="00251EC6" w:rsidRDefault="00251EC6" w:rsidP="00251EC6">
      <w:pPr>
        <w:spacing w:line="480" w:lineRule="auto"/>
        <w:jc w:val="center"/>
        <w:rPr>
          <w:color w:val="000000"/>
        </w:rPr>
      </w:pPr>
    </w:p>
    <w:p w:rsidR="00251EC6" w:rsidRPr="00BF0B87" w:rsidRDefault="00251EC6" w:rsidP="00251EC6">
      <w:pPr>
        <w:spacing w:line="480" w:lineRule="auto"/>
        <w:jc w:val="center"/>
        <w:rPr>
          <w:b/>
          <w:color w:val="000000"/>
        </w:rPr>
      </w:pPr>
      <w:r w:rsidRPr="00BF0B87">
        <w:rPr>
          <w:b/>
          <w:color w:val="000000"/>
        </w:rPr>
        <w:lastRenderedPageBreak/>
        <w:t>Preliminary Design Issues</w:t>
      </w:r>
    </w:p>
    <w:p w:rsidR="00251EC6" w:rsidRPr="00032091" w:rsidRDefault="00251EC6" w:rsidP="00251EC6">
      <w:pPr>
        <w:spacing w:line="480" w:lineRule="auto"/>
        <w:rPr>
          <w:color w:val="000000"/>
        </w:rPr>
      </w:pPr>
      <w:r w:rsidRPr="00032091">
        <w:rPr>
          <w:color w:val="000000"/>
        </w:rPr>
        <w:tab/>
      </w:r>
      <w:r>
        <w:rPr>
          <w:color w:val="000000"/>
        </w:rPr>
        <w:t xml:space="preserve">Hogan (2007) states even in first phase of defining the purpose of a survey, any preliminary </w:t>
      </w:r>
      <w:r w:rsidRPr="00032091">
        <w:rPr>
          <w:color w:val="000000"/>
        </w:rPr>
        <w:t xml:space="preserve">design issues </w:t>
      </w:r>
      <w:r>
        <w:rPr>
          <w:color w:val="000000"/>
        </w:rPr>
        <w:t>that could possibly arise must be considered in the construction of the measure. In this case, there were three main design issues confronted in the creation of the survey. The first issue concerned the scoring scale, which was a Likert system of 1-5 points instead of a 3-7 scale. This design difference could possibly affect the outcome. As Hogan (2007) discusses, creating a survey that scores for a negatively skewed distribution will allow for maximum discrimination to be shown in the lower part of the distribution. Due to the fact that this survey was designed with a 1-5 point Likert scale, the scores will demonstrate a range of po</w:t>
      </w:r>
      <w:r w:rsidRPr="00032091">
        <w:rPr>
          <w:color w:val="000000"/>
        </w:rPr>
        <w:t>sitive, ne</w:t>
      </w:r>
      <w:r>
        <w:rPr>
          <w:color w:val="000000"/>
        </w:rPr>
        <w:t>utral, or negative opinion regarding privacy, with a positive opinion being that of approval of the government involvement and no fault seen</w:t>
      </w:r>
      <w:r w:rsidRPr="00032091">
        <w:rPr>
          <w:color w:val="000000"/>
        </w:rPr>
        <w:t xml:space="preserve">. </w:t>
      </w:r>
      <w:r>
        <w:rPr>
          <w:color w:val="000000"/>
        </w:rPr>
        <w:t xml:space="preserve">The second preliminary design issue is that two of the eight items are worded as such that a “Strongly Agree” answer would support a negative opinion of the government’s involvement in the privacy realm. However, as Hogan (2007) discusses, it is important for attitude surveys to contain positively and negatively worded items to enhance the discrimination of the distribution and ensure that the test measure is reliable. The final preliminary design issue was that the survey was conducted in an online classroom format on an open thread. As this issue could be considered somewhat controversial, it is possible that due to the open format and other class members being able to read survey responses, participants may have adjusted their answers to skew more toward the normal distribution. As </w:t>
      </w:r>
      <w:proofErr w:type="spellStart"/>
      <w:r>
        <w:rPr>
          <w:color w:val="000000"/>
        </w:rPr>
        <w:t>Sterngold</w:t>
      </w:r>
      <w:proofErr w:type="spellEnd"/>
      <w:r>
        <w:rPr>
          <w:color w:val="000000"/>
        </w:rPr>
        <w:t xml:space="preserve"> (2005) writes, “</w:t>
      </w:r>
      <w:r>
        <w:t>one source of inaccuracy is affirmation bias, which occurs when survey participants try to give answers that are socially desirable or self-confirming, or when they mold their answers to sound positive and agreeable” (p. 42).</w:t>
      </w:r>
    </w:p>
    <w:p w:rsidR="00251EC6" w:rsidRDefault="00251EC6" w:rsidP="00251EC6">
      <w:pPr>
        <w:spacing w:line="480" w:lineRule="auto"/>
        <w:rPr>
          <w:color w:val="000000"/>
        </w:rPr>
      </w:pPr>
      <w:r w:rsidRPr="00032091">
        <w:rPr>
          <w:color w:val="000000"/>
        </w:rPr>
        <w:lastRenderedPageBreak/>
        <w:tab/>
        <w:t xml:space="preserve">As the survey must be completed </w:t>
      </w:r>
      <w:r>
        <w:rPr>
          <w:color w:val="000000"/>
        </w:rPr>
        <w:t>in electronic format in the online university classroom, there were no special accommodations for persons with disabilities. The survey was written and administered in English and was not-translated into any other languages as the target group was an online university classroom setting conducted in English.</w:t>
      </w:r>
    </w:p>
    <w:p w:rsidR="00251EC6" w:rsidRPr="00BF0B87" w:rsidRDefault="00251EC6" w:rsidP="00251EC6">
      <w:pPr>
        <w:spacing w:line="480" w:lineRule="auto"/>
        <w:jc w:val="center"/>
        <w:rPr>
          <w:b/>
          <w:color w:val="000000"/>
        </w:rPr>
      </w:pPr>
      <w:r w:rsidRPr="00BF0B87">
        <w:rPr>
          <w:b/>
          <w:color w:val="000000"/>
        </w:rPr>
        <w:t>Administering, Scoring, and Interpreting the Survey</w:t>
      </w:r>
    </w:p>
    <w:p w:rsidR="00251EC6" w:rsidRPr="00032091" w:rsidRDefault="00251EC6" w:rsidP="00251EC6">
      <w:pPr>
        <w:spacing w:line="480" w:lineRule="auto"/>
        <w:rPr>
          <w:color w:val="000000"/>
        </w:rPr>
      </w:pPr>
      <w:r w:rsidRPr="00032091">
        <w:rPr>
          <w:color w:val="000000"/>
        </w:rPr>
        <w:tab/>
      </w:r>
      <w:r>
        <w:rPr>
          <w:color w:val="000000"/>
        </w:rPr>
        <w:t xml:space="preserve">The survey is an informal design created for the sole purpose of administration in the online university classroom setting. </w:t>
      </w:r>
      <w:r w:rsidRPr="00032091">
        <w:rPr>
          <w:color w:val="000000"/>
        </w:rPr>
        <w:t xml:space="preserve"> </w:t>
      </w:r>
      <w:r>
        <w:rPr>
          <w:color w:val="000000"/>
        </w:rPr>
        <w:t>The reliability of the survey could be tested by administering the survey to different classes in the online university setting to ensure there efficacy of the measures.</w:t>
      </w:r>
    </w:p>
    <w:p w:rsidR="00251EC6" w:rsidRPr="00032091" w:rsidRDefault="00251EC6" w:rsidP="00251EC6">
      <w:pPr>
        <w:spacing w:line="480" w:lineRule="auto"/>
        <w:ind w:firstLine="720"/>
        <w:rPr>
          <w:color w:val="000000"/>
        </w:rPr>
      </w:pPr>
      <w:r w:rsidRPr="00032091">
        <w:rPr>
          <w:color w:val="000000"/>
        </w:rPr>
        <w:t xml:space="preserve">The survey is </w:t>
      </w:r>
      <w:proofErr w:type="spellStart"/>
      <w:r w:rsidRPr="00032091">
        <w:rPr>
          <w:color w:val="000000"/>
        </w:rPr>
        <w:t>self administered</w:t>
      </w:r>
      <w:proofErr w:type="spellEnd"/>
      <w:r w:rsidRPr="00032091">
        <w:rPr>
          <w:color w:val="000000"/>
        </w:rPr>
        <w:t xml:space="preserve"> </w:t>
      </w:r>
      <w:r>
        <w:rPr>
          <w:color w:val="000000"/>
        </w:rPr>
        <w:t>in an online classroom format</w:t>
      </w:r>
      <w:r w:rsidRPr="00032091">
        <w:rPr>
          <w:color w:val="000000"/>
        </w:rPr>
        <w:t>.</w:t>
      </w:r>
      <w:r>
        <w:rPr>
          <w:color w:val="000000"/>
        </w:rPr>
        <w:t xml:space="preserve"> The survey was posted in the main forum and also in the administrator’s “Team D” thread. Based on biographies completed at the beginning of the class, it was ensured that </w:t>
      </w:r>
      <w:r w:rsidRPr="00032091">
        <w:rPr>
          <w:color w:val="000000"/>
        </w:rPr>
        <w:t xml:space="preserve">each participant </w:t>
      </w:r>
      <w:r>
        <w:rPr>
          <w:color w:val="000000"/>
        </w:rPr>
        <w:t>was</w:t>
      </w:r>
      <w:r w:rsidRPr="00032091">
        <w:rPr>
          <w:color w:val="000000"/>
        </w:rPr>
        <w:t xml:space="preserve"> age 18 or older. </w:t>
      </w:r>
    </w:p>
    <w:p w:rsidR="00251EC6" w:rsidRPr="00032091" w:rsidRDefault="00251EC6" w:rsidP="00251EC6">
      <w:pPr>
        <w:spacing w:line="480" w:lineRule="auto"/>
        <w:ind w:firstLine="720"/>
        <w:rPr>
          <w:color w:val="000000"/>
        </w:rPr>
      </w:pPr>
      <w:r w:rsidRPr="00032091">
        <w:rPr>
          <w:color w:val="000000"/>
        </w:rPr>
        <w:t>A Likert-</w:t>
      </w:r>
      <w:r>
        <w:rPr>
          <w:color w:val="000000"/>
        </w:rPr>
        <w:t>scale</w:t>
      </w:r>
      <w:r w:rsidRPr="00032091">
        <w:rPr>
          <w:color w:val="000000"/>
        </w:rPr>
        <w:t xml:space="preserve"> </w:t>
      </w:r>
      <w:r>
        <w:rPr>
          <w:color w:val="000000"/>
        </w:rPr>
        <w:t>from 1-5 was</w:t>
      </w:r>
      <w:r w:rsidRPr="00032091">
        <w:rPr>
          <w:color w:val="000000"/>
        </w:rPr>
        <w:t xml:space="preserve"> used with </w:t>
      </w:r>
      <w:r>
        <w:rPr>
          <w:color w:val="000000"/>
        </w:rPr>
        <w:t>1-scale point increments</w:t>
      </w:r>
      <w:r w:rsidRPr="00032091">
        <w:rPr>
          <w:color w:val="000000"/>
        </w:rPr>
        <w:t xml:space="preserve"> for the responses</w:t>
      </w:r>
      <w:r>
        <w:rPr>
          <w:color w:val="000000"/>
        </w:rPr>
        <w:t>, ranging from “Strongly Disagree (1)” to “Strongly Agree (5)”</w:t>
      </w:r>
      <w:r w:rsidRPr="00032091">
        <w:rPr>
          <w:color w:val="000000"/>
        </w:rPr>
        <w:t>.</w:t>
      </w:r>
      <w:r>
        <w:rPr>
          <w:color w:val="000000"/>
        </w:rPr>
        <w:t xml:space="preserve"> The lower </w:t>
      </w:r>
      <w:r w:rsidRPr="00032091">
        <w:rPr>
          <w:color w:val="000000"/>
        </w:rPr>
        <w:t>response score</w:t>
      </w:r>
      <w:r>
        <w:rPr>
          <w:color w:val="000000"/>
        </w:rPr>
        <w:t xml:space="preserve"> corresponds with the opinion that the government has overstepped boundaries associated with the privacy of its citizens and a higher response score corresponds to the opinion that the government has acted justly regarding privacy as threats to national security are paramount to the rights of individual citizens. </w:t>
      </w:r>
      <w:r w:rsidRPr="00032091">
        <w:rPr>
          <w:color w:val="000000"/>
        </w:rPr>
        <w:t xml:space="preserve">As </w:t>
      </w:r>
      <w:r>
        <w:rPr>
          <w:color w:val="000000"/>
        </w:rPr>
        <w:t>discussed previously, items 4 and 8 are worded directionally opposite to the other items and participants who feel government has acted justly regarding privacy concerns should score “Strongly Disagree” on these two items. Therefore, a participant who approves of the government’s actions should score a total of 32 points on the survey with “1” circled on item 4 and 8. Similarly, a participant w</w:t>
      </w:r>
      <w:r w:rsidRPr="00032091">
        <w:rPr>
          <w:color w:val="000000"/>
        </w:rPr>
        <w:t xml:space="preserve">ho disagrees with </w:t>
      </w:r>
      <w:r>
        <w:rPr>
          <w:color w:val="000000"/>
        </w:rPr>
        <w:t>the government’s approach should score a “1” on every item except for scores of “5” on items 4 and 8 for</w:t>
      </w:r>
      <w:r w:rsidRPr="00032091">
        <w:rPr>
          <w:color w:val="000000"/>
        </w:rPr>
        <w:t xml:space="preserve"> a total</w:t>
      </w:r>
      <w:r>
        <w:rPr>
          <w:color w:val="000000"/>
        </w:rPr>
        <w:t xml:space="preserve"> score of 16</w:t>
      </w:r>
      <w:r w:rsidRPr="00032091">
        <w:rPr>
          <w:color w:val="000000"/>
        </w:rPr>
        <w:t xml:space="preserve"> points for the survey.  </w:t>
      </w:r>
    </w:p>
    <w:p w:rsidR="00251EC6" w:rsidRPr="00032091" w:rsidRDefault="00251EC6" w:rsidP="00251EC6">
      <w:pPr>
        <w:spacing w:line="480" w:lineRule="auto"/>
        <w:ind w:firstLine="720"/>
        <w:rPr>
          <w:color w:val="000000"/>
        </w:rPr>
      </w:pPr>
      <w:r w:rsidRPr="00032091">
        <w:rPr>
          <w:color w:val="000000"/>
        </w:rPr>
        <w:t xml:space="preserve">The </w:t>
      </w:r>
      <w:r>
        <w:rPr>
          <w:color w:val="000000"/>
        </w:rPr>
        <w:t xml:space="preserve">survey should provide insights as to whether age is still a predictor of general opinion regarding right to privacy, with more advanced age groups demonstrating greater approval of surveillance and the government’s involvement. However, due to the fact that the survey was administered to a small sample of an online university classroom, it is important to weigh the results accordingly as there was significant potential for affirmation bias. </w:t>
      </w:r>
    </w:p>
    <w:p w:rsidR="00251EC6" w:rsidRPr="00BF0B87" w:rsidRDefault="00251EC6" w:rsidP="00251EC6">
      <w:pPr>
        <w:pStyle w:val="Header"/>
        <w:tabs>
          <w:tab w:val="clear" w:pos="4320"/>
          <w:tab w:val="clear" w:pos="8640"/>
        </w:tabs>
        <w:spacing w:line="480" w:lineRule="auto"/>
        <w:jc w:val="center"/>
        <w:rPr>
          <w:b/>
          <w:color w:val="000000"/>
        </w:rPr>
      </w:pPr>
      <w:r w:rsidRPr="00BF0B87">
        <w:rPr>
          <w:b/>
          <w:color w:val="000000"/>
        </w:rPr>
        <w:t>Conclusion</w:t>
      </w:r>
    </w:p>
    <w:p w:rsidR="00251EC6" w:rsidRPr="00032091" w:rsidRDefault="00251EC6" w:rsidP="00251EC6">
      <w:pPr>
        <w:spacing w:line="480" w:lineRule="auto"/>
        <w:rPr>
          <w:color w:val="000000"/>
        </w:rPr>
      </w:pPr>
      <w:r w:rsidRPr="00032091">
        <w:rPr>
          <w:color w:val="000000"/>
        </w:rPr>
        <w:tab/>
      </w:r>
      <w:r w:rsidRPr="00032091">
        <w:rPr>
          <w:color w:val="000000"/>
          <w:szCs w:val="27"/>
        </w:rPr>
        <w:t xml:space="preserve"> The attitude survey </w:t>
      </w:r>
      <w:r>
        <w:rPr>
          <w:color w:val="000000"/>
          <w:szCs w:val="27"/>
        </w:rPr>
        <w:t xml:space="preserve">was designed for the purpose of providing new information on the attitudes of American citizens regarding privacy and the influence of the government, with particular attention to recent news events. </w:t>
      </w:r>
      <w:r w:rsidRPr="00032091">
        <w:rPr>
          <w:color w:val="000000"/>
          <w:szCs w:val="27"/>
        </w:rPr>
        <w:t xml:space="preserve">The information </w:t>
      </w:r>
      <w:r>
        <w:rPr>
          <w:color w:val="000000"/>
          <w:szCs w:val="27"/>
        </w:rPr>
        <w:t>is useful as discussions of concerns of privacy versus national security have been at the forefront of the national agenda since September 11</w:t>
      </w:r>
      <w:r w:rsidRPr="001C7555">
        <w:rPr>
          <w:color w:val="000000"/>
          <w:szCs w:val="27"/>
          <w:vertAlign w:val="superscript"/>
        </w:rPr>
        <w:t>th</w:t>
      </w:r>
      <w:r>
        <w:rPr>
          <w:color w:val="000000"/>
          <w:szCs w:val="27"/>
        </w:rPr>
        <w:t xml:space="preserve">, as Hardin (2003) notes. This survey was created to assess the most recent privacy debate but </w:t>
      </w:r>
      <w:r w:rsidRPr="00032091">
        <w:rPr>
          <w:color w:val="000000"/>
          <w:szCs w:val="27"/>
        </w:rPr>
        <w:t xml:space="preserve">could be </w:t>
      </w:r>
      <w:r>
        <w:rPr>
          <w:color w:val="000000"/>
          <w:szCs w:val="27"/>
        </w:rPr>
        <w:t>interpreted in conjunction</w:t>
      </w:r>
      <w:r w:rsidRPr="00032091">
        <w:rPr>
          <w:color w:val="000000"/>
          <w:szCs w:val="27"/>
        </w:rPr>
        <w:t xml:space="preserve"> with </w:t>
      </w:r>
      <w:r>
        <w:rPr>
          <w:color w:val="000000"/>
          <w:szCs w:val="27"/>
        </w:rPr>
        <w:t>surveys conducted over the past decade to see if attitudes surrounding privacy are changing as more time passes since the tragedy that struck our nation almost twelve years ago</w:t>
      </w:r>
      <w:r w:rsidRPr="00032091">
        <w:rPr>
          <w:color w:val="000000"/>
          <w:szCs w:val="27"/>
        </w:rPr>
        <w:t xml:space="preserve">. </w:t>
      </w:r>
    </w:p>
    <w:p w:rsidR="00251EC6" w:rsidRPr="00BF0B87" w:rsidRDefault="00251EC6" w:rsidP="00251EC6">
      <w:pPr>
        <w:spacing w:line="480" w:lineRule="auto"/>
        <w:jc w:val="center"/>
        <w:rPr>
          <w:b/>
          <w:color w:val="000000"/>
          <w:szCs w:val="14"/>
        </w:rPr>
      </w:pPr>
      <w:r w:rsidRPr="00032091">
        <w:rPr>
          <w:color w:val="000000"/>
        </w:rPr>
        <w:br w:type="page"/>
      </w:r>
      <w:r w:rsidRPr="00BF0B87">
        <w:rPr>
          <w:rStyle w:val="citation"/>
          <w:b/>
          <w:color w:val="000000"/>
        </w:rPr>
        <w:t>References</w:t>
      </w:r>
    </w:p>
    <w:p w:rsidR="00251EC6" w:rsidRPr="009914D5" w:rsidRDefault="00251EC6" w:rsidP="00251EC6">
      <w:pPr>
        <w:pStyle w:val="Header"/>
        <w:tabs>
          <w:tab w:val="clear" w:pos="4320"/>
          <w:tab w:val="clear" w:pos="8640"/>
        </w:tabs>
        <w:spacing w:line="480" w:lineRule="auto"/>
        <w:ind w:left="720" w:hanging="720"/>
        <w:rPr>
          <w:color w:val="000000"/>
        </w:rPr>
      </w:pPr>
      <w:proofErr w:type="spellStart"/>
      <w:r>
        <w:t>Covel</w:t>
      </w:r>
      <w:proofErr w:type="spellEnd"/>
      <w:r>
        <w:t>, S. (2003). Getting pragmatic about privacy.</w:t>
      </w:r>
      <w:r>
        <w:rPr>
          <w:i/>
          <w:iCs/>
        </w:rPr>
        <w:t xml:space="preserve"> American Demographics, 25</w:t>
      </w:r>
      <w:r>
        <w:t>(5), 14-15. Retrieved from http://search.proquest.com/docview/200581053?accountid=458</w:t>
      </w:r>
    </w:p>
    <w:p w:rsidR="00251EC6" w:rsidRDefault="00251EC6" w:rsidP="00251EC6">
      <w:pPr>
        <w:spacing w:line="480" w:lineRule="auto"/>
        <w:ind w:left="720" w:hanging="720"/>
        <w:rPr>
          <w:color w:val="000000"/>
          <w:szCs w:val="27"/>
        </w:rPr>
      </w:pPr>
      <w:r>
        <w:t>Hardin, S. (2003). Openness, privacy and national security post 9/11: A debate.</w:t>
      </w:r>
      <w:r>
        <w:rPr>
          <w:i/>
          <w:iCs/>
        </w:rPr>
        <w:t xml:space="preserve"> Bulletin of the American Society for Information Science and Technology, 29</w:t>
      </w:r>
      <w:r>
        <w:t>(3), 10-11. Retrieved from http://search.proquest.com/docview/195318348?accountid=458</w:t>
      </w:r>
    </w:p>
    <w:p w:rsidR="00251EC6" w:rsidRPr="00032091" w:rsidRDefault="00251EC6" w:rsidP="00251EC6">
      <w:pPr>
        <w:spacing w:line="480" w:lineRule="auto"/>
        <w:ind w:left="720" w:hanging="720"/>
        <w:rPr>
          <w:color w:val="000000"/>
          <w:szCs w:val="27"/>
        </w:rPr>
      </w:pPr>
      <w:r w:rsidRPr="00032091">
        <w:rPr>
          <w:color w:val="000000"/>
          <w:szCs w:val="27"/>
        </w:rPr>
        <w:t xml:space="preserve">Hogan, T.P. (2003). </w:t>
      </w:r>
      <w:r w:rsidRPr="00032091">
        <w:rPr>
          <w:rStyle w:val="Emphasis"/>
          <w:color w:val="000000"/>
          <w:szCs w:val="27"/>
        </w:rPr>
        <w:t>Psychological Testing: A Practical Introduction</w:t>
      </w:r>
      <w:r w:rsidRPr="00032091">
        <w:rPr>
          <w:color w:val="000000"/>
          <w:szCs w:val="27"/>
        </w:rPr>
        <w:t>. [University of</w:t>
      </w:r>
    </w:p>
    <w:p w:rsidR="00251EC6" w:rsidRPr="00032091" w:rsidRDefault="00251EC6" w:rsidP="00251EC6">
      <w:pPr>
        <w:pStyle w:val="Header"/>
        <w:tabs>
          <w:tab w:val="clear" w:pos="4320"/>
          <w:tab w:val="clear" w:pos="8640"/>
        </w:tabs>
        <w:spacing w:line="480" w:lineRule="auto"/>
        <w:ind w:left="720" w:hanging="720"/>
        <w:rPr>
          <w:color w:val="000000"/>
          <w:szCs w:val="27"/>
        </w:rPr>
      </w:pPr>
      <w:r w:rsidRPr="00032091">
        <w:rPr>
          <w:color w:val="000000"/>
          <w:szCs w:val="27"/>
        </w:rPr>
        <w:t xml:space="preserve"> </w:t>
      </w:r>
      <w:r w:rsidRPr="00032091">
        <w:rPr>
          <w:color w:val="000000"/>
          <w:szCs w:val="27"/>
        </w:rPr>
        <w:tab/>
        <w:t>Phoenix Custom Edition e-text]. New York, NY: John Wiley &amp; Sons,</w:t>
      </w:r>
    </w:p>
    <w:p w:rsidR="00251EC6" w:rsidRPr="00032091" w:rsidRDefault="00251EC6" w:rsidP="00251EC6">
      <w:pPr>
        <w:pStyle w:val="Header"/>
        <w:tabs>
          <w:tab w:val="clear" w:pos="4320"/>
          <w:tab w:val="clear" w:pos="8640"/>
        </w:tabs>
        <w:spacing w:line="480" w:lineRule="auto"/>
        <w:ind w:left="720" w:hanging="720"/>
        <w:rPr>
          <w:color w:val="000000"/>
          <w:szCs w:val="27"/>
        </w:rPr>
      </w:pPr>
      <w:r w:rsidRPr="00032091">
        <w:rPr>
          <w:color w:val="000000"/>
          <w:szCs w:val="27"/>
        </w:rPr>
        <w:t xml:space="preserve"> </w:t>
      </w:r>
      <w:r w:rsidRPr="00032091">
        <w:rPr>
          <w:color w:val="000000"/>
          <w:szCs w:val="27"/>
        </w:rPr>
        <w:tab/>
        <w:t>Inc. Retrieved March 11, 2009, from University of Phoenix, Resource, PSY</w:t>
      </w:r>
    </w:p>
    <w:p w:rsidR="00251EC6" w:rsidRPr="00032091" w:rsidRDefault="00251EC6" w:rsidP="00251EC6">
      <w:pPr>
        <w:spacing w:line="480" w:lineRule="auto"/>
        <w:ind w:left="720" w:hanging="720"/>
        <w:rPr>
          <w:color w:val="000000"/>
          <w:szCs w:val="27"/>
        </w:rPr>
      </w:pPr>
      <w:r w:rsidRPr="00032091">
        <w:rPr>
          <w:color w:val="000000"/>
          <w:szCs w:val="27"/>
        </w:rPr>
        <w:t xml:space="preserve"> </w:t>
      </w:r>
      <w:r w:rsidRPr="00032091">
        <w:rPr>
          <w:color w:val="000000"/>
          <w:szCs w:val="27"/>
        </w:rPr>
        <w:tab/>
        <w:t>475 Course Website.</w:t>
      </w:r>
    </w:p>
    <w:p w:rsidR="00251EC6" w:rsidRDefault="00251EC6" w:rsidP="00251EC6">
      <w:pPr>
        <w:pStyle w:val="Header"/>
        <w:tabs>
          <w:tab w:val="clear" w:pos="4320"/>
          <w:tab w:val="clear" w:pos="8640"/>
        </w:tabs>
        <w:spacing w:line="480" w:lineRule="auto"/>
        <w:ind w:left="720" w:hanging="720"/>
        <w:rPr>
          <w:color w:val="000000"/>
        </w:rPr>
      </w:pPr>
      <w:proofErr w:type="spellStart"/>
      <w:r>
        <w:t>Sterngold</w:t>
      </w:r>
      <w:proofErr w:type="spellEnd"/>
      <w:r>
        <w:t>, A. (2005). Battling bias.</w:t>
      </w:r>
      <w:r>
        <w:rPr>
          <w:i/>
          <w:iCs/>
        </w:rPr>
        <w:t xml:space="preserve"> Planning, 71</w:t>
      </w:r>
      <w:r>
        <w:t xml:space="preserve">(7), 42-44. Retrieved from http://search.proquest.com/docview/206698568?accountid=458 </w:t>
      </w:r>
      <w:r w:rsidRPr="00032091">
        <w:rPr>
          <w:color w:val="000000"/>
        </w:rPr>
        <w:br w:type="page"/>
      </w:r>
      <w:r>
        <w:rPr>
          <w:color w:val="000000"/>
        </w:rPr>
        <w:t xml:space="preserve"> </w:t>
      </w:r>
      <w:r>
        <w:rPr>
          <w:color w:val="000000"/>
        </w:rPr>
        <w:tab/>
      </w:r>
      <w:proofErr w:type="gramStart"/>
      <w:r>
        <w:rPr>
          <w:color w:val="000000"/>
        </w:rPr>
        <w:t>In</w:t>
      </w:r>
      <w:proofErr w:type="gramEnd"/>
      <w:r>
        <w:rPr>
          <w:color w:val="000000"/>
        </w:rPr>
        <w:t xml:space="preserve"> the survey below, please indicate your age, gender and today’s date in the first row. Please read the questions marked 1-8 and circle or highlight the answer you feel is most fitting to your beliefs.</w:t>
      </w:r>
    </w:p>
    <w:p w:rsidR="00251EC6" w:rsidRDefault="00251EC6" w:rsidP="00251EC6">
      <w:pPr>
        <w:pStyle w:val="Header"/>
        <w:tabs>
          <w:tab w:val="clear" w:pos="4320"/>
          <w:tab w:val="clear" w:pos="8640"/>
        </w:tabs>
        <w:spacing w:line="480" w:lineRule="auto"/>
        <w:jc w:val="center"/>
        <w:rPr>
          <w:b/>
          <w:bCs/>
          <w:color w:val="000000"/>
        </w:rPr>
      </w:pPr>
      <w:r w:rsidRPr="00032091">
        <w:rPr>
          <w:b/>
          <w:bCs/>
          <w:color w:val="000000"/>
        </w:rPr>
        <w:t>SURVEY FORM</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440"/>
        <w:gridCol w:w="1350"/>
        <w:gridCol w:w="1350"/>
        <w:gridCol w:w="1260"/>
        <w:gridCol w:w="1350"/>
      </w:tblGrid>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Age:</w:t>
            </w:r>
          </w:p>
          <w:p w:rsidR="00251EC6" w:rsidRPr="000F5CDF" w:rsidRDefault="00251EC6" w:rsidP="003F4B0D">
            <w:pPr>
              <w:rPr>
                <w:sz w:val="20"/>
                <w:szCs w:val="20"/>
              </w:rPr>
            </w:pPr>
          </w:p>
        </w:tc>
        <w:tc>
          <w:tcPr>
            <w:tcW w:w="3240" w:type="dxa"/>
            <w:shd w:val="clear" w:color="auto" w:fill="auto"/>
          </w:tcPr>
          <w:p w:rsidR="00251EC6" w:rsidRPr="000F5CDF" w:rsidRDefault="00251EC6" w:rsidP="003F4B0D">
            <w:pPr>
              <w:rPr>
                <w:sz w:val="20"/>
                <w:szCs w:val="20"/>
              </w:rPr>
            </w:pPr>
            <w:r w:rsidRPr="000F5CDF">
              <w:rPr>
                <w:sz w:val="20"/>
                <w:szCs w:val="20"/>
              </w:rPr>
              <w:t xml:space="preserve">Sex: </w:t>
            </w:r>
          </w:p>
          <w:p w:rsidR="00251EC6" w:rsidRPr="000F5CDF" w:rsidRDefault="00251EC6" w:rsidP="003F4B0D">
            <w:pPr>
              <w:rPr>
                <w:sz w:val="20"/>
                <w:szCs w:val="20"/>
              </w:rPr>
            </w:pPr>
            <w:r w:rsidRPr="000F5CDF">
              <w:rPr>
                <w:sz w:val="20"/>
                <w:szCs w:val="20"/>
              </w:rPr>
              <w:t>M F</w:t>
            </w:r>
          </w:p>
          <w:p w:rsidR="00251EC6" w:rsidRPr="000F5CDF" w:rsidRDefault="00251EC6" w:rsidP="003F4B0D">
            <w:pPr>
              <w:rPr>
                <w:sz w:val="20"/>
                <w:szCs w:val="20"/>
              </w:rPr>
            </w:pPr>
            <w:r w:rsidRPr="000F5CDF">
              <w:rPr>
                <w:sz w:val="20"/>
                <w:szCs w:val="20"/>
              </w:rPr>
              <w:t>(Circle Gender)</w:t>
            </w:r>
          </w:p>
        </w:tc>
        <w:tc>
          <w:tcPr>
            <w:tcW w:w="1440" w:type="dxa"/>
            <w:shd w:val="clear" w:color="auto" w:fill="auto"/>
          </w:tcPr>
          <w:p w:rsidR="00251EC6" w:rsidRPr="000F5CDF" w:rsidRDefault="00251EC6" w:rsidP="003F4B0D">
            <w:pPr>
              <w:jc w:val="center"/>
              <w:rPr>
                <w:sz w:val="20"/>
                <w:szCs w:val="20"/>
              </w:rPr>
            </w:pPr>
            <w:r w:rsidRPr="000F5CDF">
              <w:rPr>
                <w:sz w:val="20"/>
                <w:szCs w:val="20"/>
              </w:rPr>
              <w:t>Today’s Date:</w:t>
            </w:r>
          </w:p>
        </w:tc>
        <w:tc>
          <w:tcPr>
            <w:tcW w:w="1350" w:type="dxa"/>
            <w:shd w:val="clear" w:color="auto" w:fill="auto"/>
          </w:tcPr>
          <w:p w:rsidR="00251EC6" w:rsidRPr="000F5CDF" w:rsidRDefault="00251EC6" w:rsidP="003F4B0D">
            <w:pPr>
              <w:jc w:val="center"/>
              <w:rPr>
                <w:sz w:val="20"/>
                <w:szCs w:val="20"/>
              </w:rPr>
            </w:pPr>
          </w:p>
        </w:tc>
        <w:tc>
          <w:tcPr>
            <w:tcW w:w="1350" w:type="dxa"/>
            <w:shd w:val="clear" w:color="auto" w:fill="auto"/>
          </w:tcPr>
          <w:p w:rsidR="00251EC6" w:rsidRPr="000F5CDF" w:rsidRDefault="00251EC6" w:rsidP="003F4B0D">
            <w:pPr>
              <w:jc w:val="center"/>
              <w:rPr>
                <w:sz w:val="20"/>
                <w:szCs w:val="20"/>
              </w:rPr>
            </w:pPr>
          </w:p>
        </w:tc>
        <w:tc>
          <w:tcPr>
            <w:tcW w:w="1260" w:type="dxa"/>
            <w:shd w:val="clear" w:color="auto" w:fill="auto"/>
          </w:tcPr>
          <w:p w:rsidR="00251EC6" w:rsidRPr="000F5CDF" w:rsidRDefault="00251EC6" w:rsidP="003F4B0D">
            <w:pPr>
              <w:jc w:val="center"/>
              <w:rPr>
                <w:sz w:val="20"/>
                <w:szCs w:val="20"/>
              </w:rPr>
            </w:pPr>
          </w:p>
        </w:tc>
        <w:tc>
          <w:tcPr>
            <w:tcW w:w="1350" w:type="dxa"/>
            <w:shd w:val="clear" w:color="auto" w:fill="auto"/>
          </w:tcPr>
          <w:p w:rsidR="00251EC6" w:rsidRPr="000F5CDF" w:rsidRDefault="00251EC6" w:rsidP="003F4B0D">
            <w:pPr>
              <w:jc w:val="center"/>
              <w:rPr>
                <w:sz w:val="20"/>
                <w:szCs w:val="20"/>
              </w:rPr>
            </w:pPr>
          </w:p>
        </w:tc>
      </w:tr>
      <w:tr w:rsidR="00251EC6" w:rsidRPr="008E4163" w:rsidTr="003F4B0D">
        <w:tc>
          <w:tcPr>
            <w:tcW w:w="720" w:type="dxa"/>
            <w:shd w:val="clear" w:color="auto" w:fill="auto"/>
          </w:tcPr>
          <w:p w:rsidR="00251EC6" w:rsidRPr="000F5CDF" w:rsidRDefault="00251EC6" w:rsidP="003F4B0D">
            <w:pPr>
              <w:rPr>
                <w:sz w:val="20"/>
                <w:szCs w:val="20"/>
              </w:rPr>
            </w:pPr>
          </w:p>
        </w:tc>
        <w:tc>
          <w:tcPr>
            <w:tcW w:w="3240" w:type="dxa"/>
            <w:shd w:val="clear" w:color="auto" w:fill="auto"/>
          </w:tcPr>
          <w:p w:rsidR="00251EC6" w:rsidRPr="000F5CDF" w:rsidRDefault="00251EC6" w:rsidP="003F4B0D">
            <w:pPr>
              <w:pStyle w:val="Header"/>
              <w:tabs>
                <w:tab w:val="clear" w:pos="4320"/>
                <w:tab w:val="clear" w:pos="8640"/>
              </w:tabs>
              <w:rPr>
                <w:color w:val="000000"/>
                <w:sz w:val="20"/>
                <w:szCs w:val="20"/>
              </w:rPr>
            </w:pPr>
            <w:r w:rsidRPr="000F5CDF">
              <w:rPr>
                <w:color w:val="000000"/>
                <w:sz w:val="20"/>
                <w:szCs w:val="20"/>
              </w:rPr>
              <w:t>For the following statements, please indicate whether you:</w:t>
            </w:r>
          </w:p>
          <w:p w:rsidR="00251EC6" w:rsidRPr="000F5CDF" w:rsidRDefault="00251EC6" w:rsidP="003F4B0D">
            <w:pPr>
              <w:rPr>
                <w:sz w:val="20"/>
                <w:szCs w:val="20"/>
              </w:rPr>
            </w:pPr>
            <w:r w:rsidRPr="000F5CDF">
              <w:rPr>
                <w:color w:val="000000"/>
                <w:sz w:val="20"/>
                <w:szCs w:val="20"/>
              </w:rPr>
              <w:t>Strongly Agree (1), Agree (2), Have No Opinion (3), Disagree (4) or Strongly Disagree (5)</w:t>
            </w:r>
          </w:p>
        </w:tc>
        <w:tc>
          <w:tcPr>
            <w:tcW w:w="1440" w:type="dxa"/>
            <w:shd w:val="clear" w:color="auto" w:fill="auto"/>
          </w:tcPr>
          <w:p w:rsidR="00251EC6" w:rsidRPr="000F5CDF" w:rsidRDefault="00251EC6" w:rsidP="003F4B0D">
            <w:pPr>
              <w:pStyle w:val="Header"/>
              <w:tabs>
                <w:tab w:val="clear" w:pos="4320"/>
                <w:tab w:val="clear" w:pos="8640"/>
              </w:tabs>
              <w:jc w:val="center"/>
              <w:rPr>
                <w:color w:val="000000"/>
                <w:sz w:val="20"/>
                <w:szCs w:val="20"/>
              </w:rPr>
            </w:pPr>
            <w:r w:rsidRPr="000F5CDF">
              <w:rPr>
                <w:color w:val="000000"/>
                <w:sz w:val="20"/>
                <w:szCs w:val="20"/>
              </w:rPr>
              <w:t>Strongly Disagree</w:t>
            </w:r>
          </w:p>
          <w:p w:rsidR="00251EC6" w:rsidRPr="000F5CDF" w:rsidRDefault="00251EC6" w:rsidP="003F4B0D">
            <w:pPr>
              <w:jc w:val="center"/>
              <w:rPr>
                <w:color w:val="000000"/>
                <w:sz w:val="20"/>
                <w:szCs w:val="20"/>
              </w:rPr>
            </w:pPr>
          </w:p>
          <w:p w:rsidR="00251EC6" w:rsidRPr="000F5CDF" w:rsidRDefault="00251EC6" w:rsidP="003F4B0D">
            <w:pPr>
              <w:jc w:val="center"/>
              <w:rPr>
                <w:sz w:val="20"/>
                <w:szCs w:val="20"/>
              </w:rPr>
            </w:pPr>
            <w:r w:rsidRPr="000F5CDF">
              <w:rPr>
                <w:color w:val="000000"/>
                <w:sz w:val="20"/>
                <w:szCs w:val="20"/>
              </w:rPr>
              <w:t>= 1</w:t>
            </w:r>
          </w:p>
        </w:tc>
        <w:tc>
          <w:tcPr>
            <w:tcW w:w="1350" w:type="dxa"/>
            <w:shd w:val="clear" w:color="auto" w:fill="auto"/>
          </w:tcPr>
          <w:p w:rsidR="00251EC6" w:rsidRPr="000F5CDF" w:rsidRDefault="00251EC6" w:rsidP="003F4B0D">
            <w:pPr>
              <w:jc w:val="center"/>
              <w:rPr>
                <w:sz w:val="20"/>
                <w:szCs w:val="20"/>
              </w:rPr>
            </w:pPr>
            <w:r w:rsidRPr="000F5CDF">
              <w:rPr>
                <w:sz w:val="20"/>
                <w:szCs w:val="20"/>
              </w:rPr>
              <w:t>Disagree</w:t>
            </w:r>
          </w:p>
          <w:p w:rsidR="00251EC6" w:rsidRPr="000F5CDF" w:rsidRDefault="00251EC6" w:rsidP="003F4B0D">
            <w:pPr>
              <w:jc w:val="center"/>
              <w:rPr>
                <w:sz w:val="20"/>
                <w:szCs w:val="20"/>
              </w:rPr>
            </w:pPr>
          </w:p>
          <w:p w:rsidR="00251EC6" w:rsidRPr="000F5CDF" w:rsidRDefault="00251EC6" w:rsidP="003F4B0D">
            <w:pPr>
              <w:jc w:val="center"/>
              <w:rPr>
                <w:sz w:val="20"/>
                <w:szCs w:val="20"/>
              </w:rPr>
            </w:pPr>
            <w:r w:rsidRPr="000F5CDF">
              <w:rPr>
                <w:sz w:val="20"/>
                <w:szCs w:val="20"/>
              </w:rPr>
              <w:t>= 2</w:t>
            </w:r>
          </w:p>
        </w:tc>
        <w:tc>
          <w:tcPr>
            <w:tcW w:w="1350" w:type="dxa"/>
            <w:shd w:val="clear" w:color="auto" w:fill="auto"/>
          </w:tcPr>
          <w:p w:rsidR="00251EC6" w:rsidRPr="000F5CDF" w:rsidRDefault="00251EC6" w:rsidP="003F4B0D">
            <w:pPr>
              <w:jc w:val="center"/>
              <w:rPr>
                <w:sz w:val="20"/>
                <w:szCs w:val="20"/>
              </w:rPr>
            </w:pPr>
            <w:r w:rsidRPr="000F5CDF">
              <w:rPr>
                <w:sz w:val="20"/>
                <w:szCs w:val="20"/>
              </w:rPr>
              <w:t>Have No Opinion</w:t>
            </w:r>
          </w:p>
          <w:p w:rsidR="00251EC6" w:rsidRPr="000F5CDF" w:rsidRDefault="00251EC6" w:rsidP="003F4B0D">
            <w:pPr>
              <w:jc w:val="center"/>
              <w:rPr>
                <w:sz w:val="20"/>
                <w:szCs w:val="20"/>
              </w:rPr>
            </w:pPr>
          </w:p>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Agree</w:t>
            </w:r>
          </w:p>
          <w:p w:rsidR="00251EC6" w:rsidRPr="000F5CDF" w:rsidRDefault="00251EC6" w:rsidP="003F4B0D">
            <w:pPr>
              <w:jc w:val="center"/>
              <w:rPr>
                <w:sz w:val="20"/>
                <w:szCs w:val="20"/>
              </w:rPr>
            </w:pPr>
          </w:p>
          <w:p w:rsidR="00251EC6" w:rsidRPr="000F5CDF" w:rsidRDefault="00251EC6" w:rsidP="003F4B0D">
            <w:pPr>
              <w:jc w:val="center"/>
              <w:rPr>
                <w:sz w:val="20"/>
                <w:szCs w:val="20"/>
              </w:rPr>
            </w:pPr>
            <w:r w:rsidRPr="000F5CDF">
              <w:rPr>
                <w:sz w:val="20"/>
                <w:szCs w:val="20"/>
              </w:rPr>
              <w:t>= 4</w:t>
            </w:r>
          </w:p>
        </w:tc>
        <w:tc>
          <w:tcPr>
            <w:tcW w:w="1350" w:type="dxa"/>
            <w:shd w:val="clear" w:color="auto" w:fill="auto"/>
          </w:tcPr>
          <w:p w:rsidR="00251EC6" w:rsidRPr="000F5CDF" w:rsidRDefault="00251EC6" w:rsidP="003F4B0D">
            <w:pPr>
              <w:jc w:val="center"/>
              <w:rPr>
                <w:sz w:val="20"/>
                <w:szCs w:val="20"/>
              </w:rPr>
            </w:pPr>
            <w:r w:rsidRPr="000F5CDF">
              <w:rPr>
                <w:sz w:val="20"/>
                <w:szCs w:val="20"/>
              </w:rPr>
              <w:t>Strongly Agree</w:t>
            </w:r>
          </w:p>
          <w:p w:rsidR="00251EC6" w:rsidRPr="000F5CDF" w:rsidRDefault="00251EC6" w:rsidP="003F4B0D">
            <w:pPr>
              <w:jc w:val="center"/>
              <w:rPr>
                <w:sz w:val="20"/>
                <w:szCs w:val="20"/>
              </w:rPr>
            </w:pPr>
          </w:p>
          <w:p w:rsidR="00251EC6" w:rsidRPr="000F5CDF" w:rsidRDefault="00251EC6" w:rsidP="003F4B0D">
            <w:pPr>
              <w:jc w:val="center"/>
              <w:rPr>
                <w:sz w:val="20"/>
                <w:szCs w:val="20"/>
              </w:rPr>
            </w:pPr>
            <w:r w:rsidRPr="000F5CDF">
              <w:rPr>
                <w:sz w:val="20"/>
                <w:szCs w:val="20"/>
              </w:rPr>
              <w:t>= 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1.</w:t>
            </w:r>
          </w:p>
        </w:tc>
        <w:tc>
          <w:tcPr>
            <w:tcW w:w="3240" w:type="dxa"/>
            <w:shd w:val="clear" w:color="auto" w:fill="auto"/>
          </w:tcPr>
          <w:p w:rsidR="00251EC6" w:rsidRPr="000F5CDF" w:rsidRDefault="00251EC6" w:rsidP="003F4B0D">
            <w:pPr>
              <w:rPr>
                <w:sz w:val="20"/>
                <w:szCs w:val="20"/>
              </w:rPr>
            </w:pPr>
            <w:r w:rsidRPr="000F5CDF">
              <w:rPr>
                <w:sz w:val="20"/>
                <w:szCs w:val="20"/>
              </w:rPr>
              <w:t>It is just for our government to have access to our private data for the purposes of national security.</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2.</w:t>
            </w:r>
          </w:p>
        </w:tc>
        <w:tc>
          <w:tcPr>
            <w:tcW w:w="3240" w:type="dxa"/>
            <w:shd w:val="clear" w:color="auto" w:fill="auto"/>
          </w:tcPr>
          <w:p w:rsidR="00251EC6" w:rsidRPr="000F5CDF" w:rsidRDefault="00251EC6" w:rsidP="003F4B0D">
            <w:pPr>
              <w:rPr>
                <w:sz w:val="20"/>
                <w:szCs w:val="20"/>
              </w:rPr>
            </w:pPr>
            <w:r w:rsidRPr="000F5CDF">
              <w:rPr>
                <w:sz w:val="20"/>
                <w:szCs w:val="20"/>
              </w:rPr>
              <w:t xml:space="preserve">Private companies, such as Verizon, should comply with the government’s requests for our personal information. </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3.</w:t>
            </w:r>
          </w:p>
        </w:tc>
        <w:tc>
          <w:tcPr>
            <w:tcW w:w="3240" w:type="dxa"/>
            <w:shd w:val="clear" w:color="auto" w:fill="auto"/>
          </w:tcPr>
          <w:p w:rsidR="00251EC6" w:rsidRPr="000F5CDF" w:rsidRDefault="00251EC6" w:rsidP="003F4B0D">
            <w:pPr>
              <w:rPr>
                <w:sz w:val="20"/>
                <w:szCs w:val="20"/>
              </w:rPr>
            </w:pPr>
            <w:r w:rsidRPr="000F5CDF">
              <w:rPr>
                <w:sz w:val="20"/>
                <w:szCs w:val="20"/>
              </w:rPr>
              <w:t>Whistleblowers that leak classified information, regardless of how the government obtained that information (legally or illegally), should be tried for treason.</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4.</w:t>
            </w:r>
          </w:p>
        </w:tc>
        <w:tc>
          <w:tcPr>
            <w:tcW w:w="3240" w:type="dxa"/>
            <w:shd w:val="clear" w:color="auto" w:fill="auto"/>
          </w:tcPr>
          <w:p w:rsidR="00251EC6" w:rsidRPr="000F5CDF" w:rsidRDefault="00251EC6" w:rsidP="003F4B0D">
            <w:pPr>
              <w:rPr>
                <w:sz w:val="20"/>
                <w:szCs w:val="20"/>
              </w:rPr>
            </w:pPr>
            <w:r w:rsidRPr="000F5CDF">
              <w:rPr>
                <w:sz w:val="20"/>
                <w:szCs w:val="20"/>
              </w:rPr>
              <w:t>The government is equally as accountable to the Constitution as individual citizens.</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5.</w:t>
            </w:r>
          </w:p>
        </w:tc>
        <w:tc>
          <w:tcPr>
            <w:tcW w:w="3240" w:type="dxa"/>
            <w:shd w:val="clear" w:color="auto" w:fill="auto"/>
          </w:tcPr>
          <w:p w:rsidR="00251EC6" w:rsidRPr="000F5CDF" w:rsidRDefault="00251EC6" w:rsidP="003F4B0D">
            <w:pPr>
              <w:rPr>
                <w:sz w:val="20"/>
                <w:szCs w:val="20"/>
              </w:rPr>
            </w:pPr>
            <w:r w:rsidRPr="000F5CDF">
              <w:rPr>
                <w:sz w:val="20"/>
                <w:szCs w:val="20"/>
              </w:rPr>
              <w:t>If the NSA is using personal information to stop terrorists’ plots, how they obtain that information is irrelevant.</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6.</w:t>
            </w:r>
          </w:p>
        </w:tc>
        <w:tc>
          <w:tcPr>
            <w:tcW w:w="3240" w:type="dxa"/>
            <w:shd w:val="clear" w:color="auto" w:fill="auto"/>
          </w:tcPr>
          <w:p w:rsidR="00251EC6" w:rsidRPr="000F5CDF" w:rsidRDefault="00251EC6" w:rsidP="003F4B0D">
            <w:pPr>
              <w:rPr>
                <w:sz w:val="20"/>
                <w:szCs w:val="20"/>
              </w:rPr>
            </w:pPr>
            <w:r w:rsidRPr="000F5CDF">
              <w:rPr>
                <w:sz w:val="20"/>
                <w:szCs w:val="20"/>
              </w:rPr>
              <w:t>E-mail or phone conversations are not actually private at this point in time.</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7.</w:t>
            </w:r>
          </w:p>
        </w:tc>
        <w:tc>
          <w:tcPr>
            <w:tcW w:w="3240" w:type="dxa"/>
            <w:shd w:val="clear" w:color="auto" w:fill="auto"/>
          </w:tcPr>
          <w:p w:rsidR="00251EC6" w:rsidRPr="000F5CDF" w:rsidRDefault="00251EC6" w:rsidP="003F4B0D">
            <w:pPr>
              <w:rPr>
                <w:sz w:val="20"/>
                <w:szCs w:val="20"/>
              </w:rPr>
            </w:pPr>
            <w:r w:rsidRPr="000F5CDF">
              <w:rPr>
                <w:sz w:val="20"/>
                <w:szCs w:val="20"/>
              </w:rPr>
              <w:t>The President should be held personally accountable for illegal actions taken by the NSA.</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r w:rsidR="00251EC6" w:rsidRPr="008E4163" w:rsidTr="003F4B0D">
        <w:tc>
          <w:tcPr>
            <w:tcW w:w="720" w:type="dxa"/>
            <w:shd w:val="clear" w:color="auto" w:fill="auto"/>
          </w:tcPr>
          <w:p w:rsidR="00251EC6" w:rsidRPr="000F5CDF" w:rsidRDefault="00251EC6" w:rsidP="003F4B0D">
            <w:pPr>
              <w:rPr>
                <w:sz w:val="20"/>
                <w:szCs w:val="20"/>
              </w:rPr>
            </w:pPr>
            <w:r w:rsidRPr="000F5CDF">
              <w:rPr>
                <w:sz w:val="20"/>
                <w:szCs w:val="20"/>
              </w:rPr>
              <w:t>8.</w:t>
            </w:r>
          </w:p>
        </w:tc>
        <w:tc>
          <w:tcPr>
            <w:tcW w:w="3240" w:type="dxa"/>
            <w:shd w:val="clear" w:color="auto" w:fill="auto"/>
          </w:tcPr>
          <w:p w:rsidR="00251EC6" w:rsidRPr="000F5CDF" w:rsidRDefault="00251EC6" w:rsidP="003F4B0D">
            <w:pPr>
              <w:rPr>
                <w:sz w:val="20"/>
                <w:szCs w:val="20"/>
              </w:rPr>
            </w:pPr>
            <w:r w:rsidRPr="000F5CDF">
              <w:rPr>
                <w:sz w:val="20"/>
                <w:szCs w:val="20"/>
              </w:rPr>
              <w:t>Personal information obtained illegally regarding individual citizens should be destroyed as it violates our Constitutional right to privacy.</w:t>
            </w:r>
          </w:p>
        </w:tc>
        <w:tc>
          <w:tcPr>
            <w:tcW w:w="1440" w:type="dxa"/>
            <w:shd w:val="clear" w:color="auto" w:fill="auto"/>
          </w:tcPr>
          <w:p w:rsidR="00251EC6" w:rsidRPr="000F5CDF" w:rsidRDefault="00251EC6" w:rsidP="003F4B0D">
            <w:pPr>
              <w:jc w:val="center"/>
              <w:rPr>
                <w:sz w:val="20"/>
                <w:szCs w:val="20"/>
              </w:rPr>
            </w:pPr>
            <w:r w:rsidRPr="000F5CDF">
              <w:rPr>
                <w:sz w:val="20"/>
                <w:szCs w:val="20"/>
              </w:rPr>
              <w:t>1</w:t>
            </w:r>
          </w:p>
        </w:tc>
        <w:tc>
          <w:tcPr>
            <w:tcW w:w="1350" w:type="dxa"/>
            <w:shd w:val="clear" w:color="auto" w:fill="auto"/>
          </w:tcPr>
          <w:p w:rsidR="00251EC6" w:rsidRPr="000F5CDF" w:rsidRDefault="00251EC6" w:rsidP="003F4B0D">
            <w:pPr>
              <w:jc w:val="center"/>
              <w:rPr>
                <w:sz w:val="20"/>
                <w:szCs w:val="20"/>
              </w:rPr>
            </w:pPr>
            <w:r w:rsidRPr="000F5CDF">
              <w:rPr>
                <w:sz w:val="20"/>
                <w:szCs w:val="20"/>
              </w:rPr>
              <w:t>2</w:t>
            </w:r>
          </w:p>
        </w:tc>
        <w:tc>
          <w:tcPr>
            <w:tcW w:w="1350" w:type="dxa"/>
            <w:shd w:val="clear" w:color="auto" w:fill="auto"/>
          </w:tcPr>
          <w:p w:rsidR="00251EC6" w:rsidRPr="000F5CDF" w:rsidRDefault="00251EC6" w:rsidP="003F4B0D">
            <w:pPr>
              <w:jc w:val="center"/>
              <w:rPr>
                <w:sz w:val="20"/>
                <w:szCs w:val="20"/>
              </w:rPr>
            </w:pPr>
            <w:r w:rsidRPr="000F5CDF">
              <w:rPr>
                <w:sz w:val="20"/>
                <w:szCs w:val="20"/>
              </w:rPr>
              <w:t>3</w:t>
            </w:r>
          </w:p>
        </w:tc>
        <w:tc>
          <w:tcPr>
            <w:tcW w:w="1260" w:type="dxa"/>
            <w:shd w:val="clear" w:color="auto" w:fill="auto"/>
          </w:tcPr>
          <w:p w:rsidR="00251EC6" w:rsidRPr="000F5CDF" w:rsidRDefault="00251EC6" w:rsidP="003F4B0D">
            <w:pPr>
              <w:jc w:val="center"/>
              <w:rPr>
                <w:sz w:val="20"/>
                <w:szCs w:val="20"/>
              </w:rPr>
            </w:pPr>
            <w:r w:rsidRPr="000F5CDF">
              <w:rPr>
                <w:sz w:val="20"/>
                <w:szCs w:val="20"/>
              </w:rPr>
              <w:t>4</w:t>
            </w:r>
          </w:p>
        </w:tc>
        <w:tc>
          <w:tcPr>
            <w:tcW w:w="1350" w:type="dxa"/>
            <w:shd w:val="clear" w:color="auto" w:fill="auto"/>
          </w:tcPr>
          <w:p w:rsidR="00251EC6" w:rsidRPr="000F5CDF" w:rsidRDefault="00251EC6" w:rsidP="003F4B0D">
            <w:pPr>
              <w:jc w:val="center"/>
              <w:rPr>
                <w:sz w:val="20"/>
                <w:szCs w:val="20"/>
              </w:rPr>
            </w:pPr>
            <w:r w:rsidRPr="000F5CDF">
              <w:rPr>
                <w:sz w:val="20"/>
                <w:szCs w:val="20"/>
              </w:rPr>
              <w:t>5</w:t>
            </w:r>
          </w:p>
        </w:tc>
      </w:tr>
    </w:tbl>
    <w:p w:rsidR="00FF3AE6" w:rsidRPr="00251EC6" w:rsidRDefault="00FF3AE6" w:rsidP="00251EC6"/>
    <w:sectPr w:rsidR="00FF3AE6" w:rsidRPr="00251EC6">
      <w:headerReference w:type="even" r:id="rId7"/>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B44" w:rsidRDefault="003D6B44">
      <w:r>
        <w:separator/>
      </w:r>
    </w:p>
  </w:endnote>
  <w:endnote w:type="continuationSeparator" w:id="0">
    <w:p w:rsidR="003D6B44" w:rsidRDefault="003D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B44" w:rsidRDefault="003D6B44">
      <w:r>
        <w:separator/>
      </w:r>
    </w:p>
  </w:footnote>
  <w:footnote w:type="continuationSeparator" w:id="0">
    <w:p w:rsidR="003D6B44" w:rsidRDefault="003D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E6" w:rsidRDefault="00FF3A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3AE6" w:rsidRDefault="00FF3A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AE6" w:rsidRDefault="00FF3A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B61">
      <w:rPr>
        <w:rStyle w:val="PageNumber"/>
        <w:noProof/>
      </w:rPr>
      <w:t>1</w:t>
    </w:r>
    <w:r>
      <w:rPr>
        <w:rStyle w:val="PageNumber"/>
      </w:rPr>
      <w:fldChar w:fldCharType="end"/>
    </w:r>
  </w:p>
  <w:p w:rsidR="00FF3AE6" w:rsidRDefault="00FF3AE6">
    <w:pPr>
      <w:pStyle w:val="Header"/>
      <w:ind w:right="360"/>
      <w:jc w:val="right"/>
    </w:pPr>
    <w:r>
      <w:t>Attitude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2A68"/>
    <w:multiLevelType w:val="hybridMultilevel"/>
    <w:tmpl w:val="084C889A"/>
    <w:lvl w:ilvl="0" w:tplc="1B307382">
      <w:start w:val="1"/>
      <w:numFmt w:val="bullet"/>
      <w:lvlText w:val=""/>
      <w:lvlJc w:val="left"/>
      <w:pPr>
        <w:tabs>
          <w:tab w:val="num" w:pos="720"/>
        </w:tabs>
        <w:ind w:left="720" w:hanging="360"/>
      </w:pPr>
      <w:rPr>
        <w:rFonts w:ascii="Symbol" w:hAnsi="Symbol" w:hint="default"/>
        <w:sz w:val="20"/>
      </w:rPr>
    </w:lvl>
    <w:lvl w:ilvl="1" w:tplc="B56A3560" w:tentative="1">
      <w:start w:val="1"/>
      <w:numFmt w:val="bullet"/>
      <w:lvlText w:val="o"/>
      <w:lvlJc w:val="left"/>
      <w:pPr>
        <w:tabs>
          <w:tab w:val="num" w:pos="1440"/>
        </w:tabs>
        <w:ind w:left="1440" w:hanging="360"/>
      </w:pPr>
      <w:rPr>
        <w:rFonts w:ascii="Courier New" w:hAnsi="Courier New" w:hint="default"/>
        <w:sz w:val="20"/>
      </w:rPr>
    </w:lvl>
    <w:lvl w:ilvl="2" w:tplc="12D6DEB6" w:tentative="1">
      <w:start w:val="1"/>
      <w:numFmt w:val="bullet"/>
      <w:lvlText w:val=""/>
      <w:lvlJc w:val="left"/>
      <w:pPr>
        <w:tabs>
          <w:tab w:val="num" w:pos="2160"/>
        </w:tabs>
        <w:ind w:left="2160" w:hanging="360"/>
      </w:pPr>
      <w:rPr>
        <w:rFonts w:ascii="Wingdings" w:hAnsi="Wingdings" w:hint="default"/>
        <w:sz w:val="20"/>
      </w:rPr>
    </w:lvl>
    <w:lvl w:ilvl="3" w:tplc="7130D434" w:tentative="1">
      <w:start w:val="1"/>
      <w:numFmt w:val="bullet"/>
      <w:lvlText w:val=""/>
      <w:lvlJc w:val="left"/>
      <w:pPr>
        <w:tabs>
          <w:tab w:val="num" w:pos="2880"/>
        </w:tabs>
        <w:ind w:left="2880" w:hanging="360"/>
      </w:pPr>
      <w:rPr>
        <w:rFonts w:ascii="Wingdings" w:hAnsi="Wingdings" w:hint="default"/>
        <w:sz w:val="20"/>
      </w:rPr>
    </w:lvl>
    <w:lvl w:ilvl="4" w:tplc="6C964A2A" w:tentative="1">
      <w:start w:val="1"/>
      <w:numFmt w:val="bullet"/>
      <w:lvlText w:val=""/>
      <w:lvlJc w:val="left"/>
      <w:pPr>
        <w:tabs>
          <w:tab w:val="num" w:pos="3600"/>
        </w:tabs>
        <w:ind w:left="3600" w:hanging="360"/>
      </w:pPr>
      <w:rPr>
        <w:rFonts w:ascii="Wingdings" w:hAnsi="Wingdings" w:hint="default"/>
        <w:sz w:val="20"/>
      </w:rPr>
    </w:lvl>
    <w:lvl w:ilvl="5" w:tplc="BE44ABDA" w:tentative="1">
      <w:start w:val="1"/>
      <w:numFmt w:val="bullet"/>
      <w:lvlText w:val=""/>
      <w:lvlJc w:val="left"/>
      <w:pPr>
        <w:tabs>
          <w:tab w:val="num" w:pos="4320"/>
        </w:tabs>
        <w:ind w:left="4320" w:hanging="360"/>
      </w:pPr>
      <w:rPr>
        <w:rFonts w:ascii="Wingdings" w:hAnsi="Wingdings" w:hint="default"/>
        <w:sz w:val="20"/>
      </w:rPr>
    </w:lvl>
    <w:lvl w:ilvl="6" w:tplc="7DF48FEE" w:tentative="1">
      <w:start w:val="1"/>
      <w:numFmt w:val="bullet"/>
      <w:lvlText w:val=""/>
      <w:lvlJc w:val="left"/>
      <w:pPr>
        <w:tabs>
          <w:tab w:val="num" w:pos="5040"/>
        </w:tabs>
        <w:ind w:left="5040" w:hanging="360"/>
      </w:pPr>
      <w:rPr>
        <w:rFonts w:ascii="Wingdings" w:hAnsi="Wingdings" w:hint="default"/>
        <w:sz w:val="20"/>
      </w:rPr>
    </w:lvl>
    <w:lvl w:ilvl="7" w:tplc="4024121C" w:tentative="1">
      <w:start w:val="1"/>
      <w:numFmt w:val="bullet"/>
      <w:lvlText w:val=""/>
      <w:lvlJc w:val="left"/>
      <w:pPr>
        <w:tabs>
          <w:tab w:val="num" w:pos="5760"/>
        </w:tabs>
        <w:ind w:left="5760" w:hanging="360"/>
      </w:pPr>
      <w:rPr>
        <w:rFonts w:ascii="Wingdings" w:hAnsi="Wingdings" w:hint="default"/>
        <w:sz w:val="20"/>
      </w:rPr>
    </w:lvl>
    <w:lvl w:ilvl="8" w:tplc="FB6AC8CC" w:tentative="1">
      <w:start w:val="1"/>
      <w:numFmt w:val="bullet"/>
      <w:lvlText w:val=""/>
      <w:lvlJc w:val="left"/>
      <w:pPr>
        <w:tabs>
          <w:tab w:val="num" w:pos="6480"/>
        </w:tabs>
        <w:ind w:left="6480" w:hanging="360"/>
      </w:pPr>
      <w:rPr>
        <w:rFonts w:ascii="Wingdings" w:hAnsi="Wingdings" w:hint="default"/>
        <w:sz w:val="20"/>
      </w:rPr>
    </w:lvl>
  </w:abstractNum>
  <w:abstractNum w:abstractNumId="1">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F2"/>
    <w:rsid w:val="00032091"/>
    <w:rsid w:val="000831F2"/>
    <w:rsid w:val="00251EC6"/>
    <w:rsid w:val="002D5B61"/>
    <w:rsid w:val="003D6B44"/>
    <w:rsid w:val="003F4B0D"/>
    <w:rsid w:val="00482443"/>
    <w:rsid w:val="00591140"/>
    <w:rsid w:val="005F167A"/>
    <w:rsid w:val="0075301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E4CB02-DEE7-47F0-BD70-7CD3F939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4">
    <w:name w:val="heading 4"/>
    <w:basedOn w:val="Normal"/>
    <w:qFormat/>
    <w:pPr>
      <w:spacing w:before="120" w:after="48" w:line="288" w:lineRule="atLeast"/>
      <w:outlineLvl w:val="3"/>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UPhxNumberingHeading">
    <w:name w:val="UPhx Numbering Heading"/>
    <w:pPr>
      <w:numPr>
        <w:numId w:val="1"/>
      </w:numPr>
      <w:tabs>
        <w:tab w:val="left" w:pos="360"/>
      </w:tabs>
      <w:spacing w:before="180"/>
      <w:outlineLvl w:val="0"/>
    </w:pPr>
    <w:rPr>
      <w:rFonts w:ascii="Arial" w:hAnsi="Arial"/>
      <w:b/>
      <w:sz w:val="18"/>
    </w:rPr>
  </w:style>
  <w:style w:type="paragraph" w:customStyle="1" w:styleId="UPhxNumberedList1">
    <w:name w:val="UPhx Numbered List 1"/>
    <w:basedOn w:val="UPhxNumberingHeading"/>
    <w:pPr>
      <w:numPr>
        <w:ilvl w:val="1"/>
      </w:numPr>
      <w:spacing w:before="60" w:after="60"/>
    </w:pPr>
    <w:rPr>
      <w:b w:val="0"/>
      <w:sz w:val="20"/>
    </w:rPr>
  </w:style>
  <w:style w:type="paragraph" w:customStyle="1" w:styleId="UPhxNumberedList2">
    <w:name w:val="UPhx Numbered List 2"/>
    <w:basedOn w:val="UPhxNumberedList1"/>
    <w:pPr>
      <w:numPr>
        <w:ilvl w:val="2"/>
      </w:numPr>
      <w:tabs>
        <w:tab w:val="clear" w:pos="720"/>
        <w:tab w:val="num" w:pos="360"/>
      </w:tabs>
    </w:pPr>
  </w:style>
  <w:style w:type="paragraph" w:customStyle="1" w:styleId="UPhxNumberedList3">
    <w:name w:val="UPhx Numbered List 3"/>
    <w:basedOn w:val="UPhxNumberedList1"/>
    <w:pPr>
      <w:numPr>
        <w:ilvl w:val="3"/>
      </w:numPr>
      <w:tabs>
        <w:tab w:val="clear" w:pos="1080"/>
        <w:tab w:val="num" w:pos="360"/>
      </w:tabs>
    </w:pPr>
  </w:style>
  <w:style w:type="paragraph" w:customStyle="1" w:styleId="UPhxNumberedList4">
    <w:name w:val="UPhx Numbered List 4"/>
    <w:basedOn w:val="UPhxNumberedList1"/>
    <w:pPr>
      <w:numPr>
        <w:ilvl w:val="4"/>
      </w:numPr>
      <w:tabs>
        <w:tab w:val="clear" w:pos="1440"/>
        <w:tab w:val="num" w:pos="360"/>
      </w:tabs>
    </w:pPr>
  </w:style>
  <w:style w:type="paragraph" w:customStyle="1" w:styleId="UPhxNumberedList5">
    <w:name w:val="UPhx Numbered List 5"/>
    <w:basedOn w:val="UPhxNumberedList1"/>
    <w:pPr>
      <w:numPr>
        <w:ilvl w:val="5"/>
      </w:numPr>
      <w:tabs>
        <w:tab w:val="clear" w:pos="2160"/>
        <w:tab w:val="num" w:pos="360"/>
        <w:tab w:val="left" w:pos="1800"/>
      </w:tabs>
    </w:pPr>
  </w:style>
  <w:style w:type="paragraph" w:customStyle="1" w:styleId="UPhxNumberedList6">
    <w:name w:val="UPhx Numbered List 6"/>
    <w:basedOn w:val="UPhxNumberedList1"/>
    <w:pPr>
      <w:numPr>
        <w:ilvl w:val="6"/>
      </w:numPr>
      <w:tabs>
        <w:tab w:val="clear" w:pos="2520"/>
        <w:tab w:val="num" w:pos="360"/>
        <w:tab w:val="left" w:pos="2160"/>
      </w:tabs>
    </w:pPr>
  </w:style>
  <w:style w:type="character" w:customStyle="1" w:styleId="citation">
    <w:name w:val="citation"/>
    <w:basedOn w:val="DefaultParagraphFont"/>
  </w:style>
  <w:style w:type="character" w:customStyle="1" w:styleId="citation1">
    <w:name w:val="citation1"/>
    <w:rPr>
      <w:rFonts w:ascii="Verdana" w:hAnsi="Verdana" w:hint="default"/>
      <w:sz w:val="17"/>
      <w:szCs w:val="17"/>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outlineLvl w:val="0"/>
    </w:p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character" w:customStyle="1" w:styleId="citationtext">
    <w:name w:val="citationtext"/>
    <w:basedOn w:val="DefaultParagraphFont"/>
  </w:style>
  <w:style w:type="character" w:customStyle="1" w:styleId="articleurl">
    <w:name w:val="articleurl"/>
    <w:basedOn w:val="DefaultParagraphFont"/>
  </w:style>
  <w:style w:type="paragraph" w:styleId="BodyText">
    <w:name w:val="Body Text"/>
    <w:basedOn w:val="Normal"/>
    <w:pPr>
      <w:spacing w:line="480" w:lineRule="auto"/>
    </w:pPr>
    <w:rPr>
      <w:color w:val="333333"/>
      <w:szCs w:val="27"/>
    </w:rPr>
  </w:style>
  <w:style w:type="paragraph" w:customStyle="1" w:styleId="indent">
    <w:name w:val="indent"/>
    <w:basedOn w:val="Normal"/>
    <w:pPr>
      <w:spacing w:before="100" w:beforeAutospacing="1" w:after="192" w:line="336" w:lineRule="atLeast"/>
    </w:pPr>
  </w:style>
  <w:style w:type="paragraph" w:customStyle="1" w:styleId="body-paragraph">
    <w:name w:val="body-paragraph"/>
    <w:basedOn w:val="Normal"/>
    <w:pPr>
      <w:spacing w:after="240"/>
    </w:pPr>
    <w:rPr>
      <w:sz w:val="19"/>
      <w:szCs w:val="19"/>
    </w:rPr>
  </w:style>
  <w:style w:type="character" w:customStyle="1" w:styleId="italic1">
    <w:name w:val="italic1"/>
    <w:rPr>
      <w:i/>
      <w:iCs/>
    </w:rPr>
  </w:style>
  <w:style w:type="paragraph" w:styleId="BodyTextIndent2">
    <w:name w:val="Body Text Indent 2"/>
    <w:basedOn w:val="Normal"/>
    <w:pPr>
      <w:spacing w:line="480" w:lineRule="auto"/>
      <w:ind w:firstLine="720"/>
    </w:pPr>
    <w:rPr>
      <w:color w:val="333333"/>
      <w:szCs w:val="27"/>
    </w:rPr>
  </w:style>
  <w:style w:type="character" w:customStyle="1" w:styleId="italic">
    <w:name w:val="italic"/>
    <w:basedOn w:val="DefaultParagraphFont"/>
  </w:style>
  <w:style w:type="paragraph" w:styleId="BodyText2">
    <w:name w:val="Body Text 2"/>
    <w:basedOn w:val="Normal"/>
    <w:pPr>
      <w:shd w:val="clear" w:color="auto" w:fill="FFFFFF"/>
      <w:spacing w:before="100" w:beforeAutospacing="1" w:after="100" w:afterAutospacing="1" w:line="480" w:lineRule="auto"/>
    </w:pPr>
  </w:style>
  <w:style w:type="character" w:customStyle="1" w:styleId="HeaderChar">
    <w:name w:val="Header Char"/>
    <w:link w:val="Header"/>
    <w:rsid w:val="00251E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Communication is Essential to Building and Leading a Successful Team</vt:lpstr>
    </vt:vector>
  </TitlesOfParts>
  <Company>Southwestern Illinois College</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is Essential to Building and Leading a Successful Team</dc:title>
  <dc:creator>Ron &amp; Mercy</dc:creator>
  <cp:lastModifiedBy>Nikki Pascocello</cp:lastModifiedBy>
  <cp:revision>2</cp:revision>
  <cp:lastPrinted>2008-08-31T02:41:00Z</cp:lastPrinted>
  <dcterms:created xsi:type="dcterms:W3CDTF">2015-04-02T17:25:00Z</dcterms:created>
  <dcterms:modified xsi:type="dcterms:W3CDTF">2015-04-02T17:25:00Z</dcterms:modified>
</cp:coreProperties>
</file>