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222" w:rsidRPr="00D511CB" w:rsidRDefault="00D511CB" w:rsidP="00D511CB">
      <w:pPr>
        <w:pStyle w:val="ListParagraph"/>
        <w:numPr>
          <w:ilvl w:val="0"/>
          <w:numId w:val="2"/>
        </w:numPr>
        <w:rPr>
          <w:rFonts w:ascii="Arial" w:hAnsi="Arial" w:cs="Arial"/>
          <w:color w:val="333333"/>
          <w:sz w:val="20"/>
          <w:szCs w:val="20"/>
          <w:shd w:val="clear" w:color="auto" w:fill="F2F4F7"/>
        </w:rPr>
      </w:pPr>
      <w:r w:rsidRPr="00D511CB">
        <w:rPr>
          <w:rFonts w:ascii="Arial" w:hAnsi="Arial" w:cs="Arial"/>
          <w:color w:val="333333"/>
          <w:sz w:val="20"/>
          <w:szCs w:val="20"/>
          <w:shd w:val="clear" w:color="auto" w:fill="F2F4F7"/>
        </w:rPr>
        <w:t>The common stock of Plaxo Enterprises had a market price of $9.45 on the day you purchased it just 1 year ago. During the past year, the stock paid a dividend of $1.43 and closed at a price of $11.66. What rate of return did you earn on your investment in Plaxo's stock? The rate of return you earned on Plaxo's stock is what percent?</w:t>
      </w:r>
    </w:p>
    <w:p w:rsidR="00D511CB" w:rsidRDefault="00D511CB" w:rsidP="00D511CB">
      <w:pPr>
        <w:pStyle w:val="ListParagraph"/>
        <w:numPr>
          <w:ilvl w:val="0"/>
          <w:numId w:val="2"/>
        </w:numPr>
      </w:pPr>
      <w:proofErr w:type="spellStart"/>
      <w:r w:rsidRPr="00D511CB">
        <w:rPr>
          <w:rFonts w:ascii="Arial" w:hAnsi="Arial" w:cs="Arial"/>
          <w:color w:val="333333"/>
          <w:sz w:val="20"/>
          <w:szCs w:val="20"/>
          <w:shd w:val="clear" w:color="auto" w:fill="F2F4F7"/>
        </w:rPr>
        <w:t>Syntex</w:t>
      </w:r>
      <w:proofErr w:type="spellEnd"/>
      <w:r w:rsidRPr="00D511CB">
        <w:rPr>
          <w:rFonts w:ascii="Arial" w:hAnsi="Arial" w:cs="Arial"/>
          <w:color w:val="333333"/>
          <w:sz w:val="20"/>
          <w:szCs w:val="20"/>
          <w:shd w:val="clear" w:color="auto" w:fill="F2F4F7"/>
        </w:rPr>
        <w:t xml:space="preserve"> is considering an investment in one of two stocks. Given the information that follows, which investment is better based on the risk (the standard deviation) and return? Given the information in the table, what percent is the rate of return for Stock B?</w:t>
      </w:r>
      <w:r w:rsidRPr="00D511CB">
        <w:rPr>
          <w:rFonts w:ascii="Arial" w:hAnsi="Arial" w:cs="Arial"/>
          <w:color w:val="333333"/>
          <w:sz w:val="20"/>
          <w:szCs w:val="20"/>
        </w:rPr>
        <w:br/>
      </w:r>
      <w:r w:rsidRPr="00D511CB">
        <w:rPr>
          <w:rFonts w:ascii="Arial" w:hAnsi="Arial" w:cs="Arial"/>
          <w:color w:val="333333"/>
          <w:sz w:val="20"/>
          <w:szCs w:val="20"/>
        </w:rPr>
        <w:br/>
      </w:r>
      <w:r>
        <w:t xml:space="preserve">          Common Stock A</w:t>
      </w:r>
      <w:r>
        <w:tab/>
      </w:r>
      <w:r>
        <w:tab/>
        <w:t xml:space="preserve">    Common Stock B</w:t>
      </w:r>
    </w:p>
    <w:tbl>
      <w:tblPr>
        <w:tblStyle w:val="TableGrid"/>
        <w:tblW w:w="0" w:type="auto"/>
        <w:tblInd w:w="1290" w:type="dxa"/>
        <w:tblLook w:val="04A0" w:firstRow="1" w:lastRow="0" w:firstColumn="1" w:lastColumn="0" w:noHBand="0" w:noVBand="1"/>
      </w:tblPr>
      <w:tblGrid>
        <w:gridCol w:w="1188"/>
        <w:gridCol w:w="1350"/>
        <w:gridCol w:w="1260"/>
        <w:gridCol w:w="1170"/>
      </w:tblGrid>
      <w:tr w:rsidR="00D511CB" w:rsidTr="00D511CB">
        <w:tc>
          <w:tcPr>
            <w:tcW w:w="1188" w:type="dxa"/>
          </w:tcPr>
          <w:p w:rsidR="00D511CB" w:rsidRDefault="00D511CB">
            <w:r>
              <w:t>Probability</w:t>
            </w:r>
          </w:p>
        </w:tc>
        <w:tc>
          <w:tcPr>
            <w:tcW w:w="1350" w:type="dxa"/>
          </w:tcPr>
          <w:p w:rsidR="00D511CB" w:rsidRDefault="00D511CB">
            <w:r>
              <w:t>Return</w:t>
            </w:r>
          </w:p>
        </w:tc>
        <w:tc>
          <w:tcPr>
            <w:tcW w:w="1260" w:type="dxa"/>
          </w:tcPr>
          <w:p w:rsidR="00D511CB" w:rsidRDefault="00D511CB">
            <w:r>
              <w:t>Probability</w:t>
            </w:r>
          </w:p>
        </w:tc>
        <w:tc>
          <w:tcPr>
            <w:tcW w:w="1170" w:type="dxa"/>
          </w:tcPr>
          <w:p w:rsidR="00D511CB" w:rsidRDefault="00D511CB">
            <w:r>
              <w:t xml:space="preserve">Return </w:t>
            </w:r>
          </w:p>
        </w:tc>
      </w:tr>
      <w:tr w:rsidR="00D511CB" w:rsidTr="00D511CB">
        <w:tc>
          <w:tcPr>
            <w:tcW w:w="1188" w:type="dxa"/>
          </w:tcPr>
          <w:p w:rsidR="00D511CB" w:rsidRDefault="00D511CB">
            <w:r>
              <w:t>0.20</w:t>
            </w:r>
          </w:p>
        </w:tc>
        <w:tc>
          <w:tcPr>
            <w:tcW w:w="1350" w:type="dxa"/>
          </w:tcPr>
          <w:p w:rsidR="00D511CB" w:rsidRDefault="00D511CB">
            <w:r>
              <w:t>10%</w:t>
            </w:r>
          </w:p>
        </w:tc>
        <w:tc>
          <w:tcPr>
            <w:tcW w:w="1260" w:type="dxa"/>
          </w:tcPr>
          <w:p w:rsidR="00D511CB" w:rsidRDefault="00D511CB">
            <w:r>
              <w:t>0.10</w:t>
            </w:r>
          </w:p>
        </w:tc>
        <w:tc>
          <w:tcPr>
            <w:tcW w:w="1170" w:type="dxa"/>
          </w:tcPr>
          <w:p w:rsidR="00D511CB" w:rsidRDefault="00D511CB">
            <w:r>
              <w:t>-7%</w:t>
            </w:r>
          </w:p>
        </w:tc>
      </w:tr>
      <w:tr w:rsidR="00D511CB" w:rsidTr="00D511CB">
        <w:tc>
          <w:tcPr>
            <w:tcW w:w="1188" w:type="dxa"/>
          </w:tcPr>
          <w:p w:rsidR="00D511CB" w:rsidRDefault="00D511CB">
            <w:r>
              <w:t>0.60</w:t>
            </w:r>
          </w:p>
        </w:tc>
        <w:tc>
          <w:tcPr>
            <w:tcW w:w="1350" w:type="dxa"/>
          </w:tcPr>
          <w:p w:rsidR="00D511CB" w:rsidRDefault="00D511CB">
            <w:r>
              <w:t>16%</w:t>
            </w:r>
          </w:p>
        </w:tc>
        <w:tc>
          <w:tcPr>
            <w:tcW w:w="1260" w:type="dxa"/>
          </w:tcPr>
          <w:p w:rsidR="00D511CB" w:rsidRDefault="00D511CB">
            <w:r>
              <w:t>0.40</w:t>
            </w:r>
          </w:p>
        </w:tc>
        <w:tc>
          <w:tcPr>
            <w:tcW w:w="1170" w:type="dxa"/>
          </w:tcPr>
          <w:p w:rsidR="00D511CB" w:rsidRDefault="00D511CB">
            <w:r>
              <w:t>5%</w:t>
            </w:r>
          </w:p>
        </w:tc>
      </w:tr>
      <w:tr w:rsidR="00D511CB" w:rsidTr="00D511CB">
        <w:tc>
          <w:tcPr>
            <w:tcW w:w="1188" w:type="dxa"/>
          </w:tcPr>
          <w:p w:rsidR="00D511CB" w:rsidRDefault="00D511CB">
            <w:r>
              <w:t>0.20</w:t>
            </w:r>
          </w:p>
        </w:tc>
        <w:tc>
          <w:tcPr>
            <w:tcW w:w="1350" w:type="dxa"/>
          </w:tcPr>
          <w:p w:rsidR="00D511CB" w:rsidRDefault="00D511CB">
            <w:r>
              <w:t>21%</w:t>
            </w:r>
          </w:p>
        </w:tc>
        <w:tc>
          <w:tcPr>
            <w:tcW w:w="1260" w:type="dxa"/>
          </w:tcPr>
          <w:p w:rsidR="00D511CB" w:rsidRDefault="00D511CB">
            <w:r>
              <w:t>0.40</w:t>
            </w:r>
          </w:p>
        </w:tc>
        <w:tc>
          <w:tcPr>
            <w:tcW w:w="1170" w:type="dxa"/>
          </w:tcPr>
          <w:p w:rsidR="00D511CB" w:rsidRDefault="00D511CB">
            <w:r>
              <w:t>13%</w:t>
            </w:r>
          </w:p>
        </w:tc>
      </w:tr>
      <w:tr w:rsidR="00D511CB" w:rsidTr="00D511CB">
        <w:tc>
          <w:tcPr>
            <w:tcW w:w="1188" w:type="dxa"/>
          </w:tcPr>
          <w:p w:rsidR="00D511CB" w:rsidRDefault="00D511CB"/>
        </w:tc>
        <w:tc>
          <w:tcPr>
            <w:tcW w:w="1350" w:type="dxa"/>
          </w:tcPr>
          <w:p w:rsidR="00D511CB" w:rsidRDefault="00D511CB"/>
        </w:tc>
        <w:tc>
          <w:tcPr>
            <w:tcW w:w="1260" w:type="dxa"/>
          </w:tcPr>
          <w:p w:rsidR="00D511CB" w:rsidRDefault="00D511CB">
            <w:r>
              <w:t>0.10</w:t>
            </w:r>
          </w:p>
        </w:tc>
        <w:tc>
          <w:tcPr>
            <w:tcW w:w="1170" w:type="dxa"/>
          </w:tcPr>
          <w:p w:rsidR="00D511CB" w:rsidRDefault="00D511CB">
            <w:r>
              <w:t>20%</w:t>
            </w:r>
          </w:p>
        </w:tc>
      </w:tr>
    </w:tbl>
    <w:p w:rsidR="00D511CB" w:rsidRDefault="00D511CB"/>
    <w:p w:rsidR="00D511CB" w:rsidRPr="00D511CB" w:rsidRDefault="00D511CB" w:rsidP="00D511CB">
      <w:pPr>
        <w:pStyle w:val="ListParagraph"/>
        <w:numPr>
          <w:ilvl w:val="0"/>
          <w:numId w:val="2"/>
        </w:numPr>
        <w:rPr>
          <w:rFonts w:ascii="Arial" w:hAnsi="Arial" w:cs="Arial"/>
          <w:color w:val="333333"/>
          <w:sz w:val="20"/>
          <w:szCs w:val="20"/>
          <w:shd w:val="clear" w:color="auto" w:fill="F2F4F7"/>
        </w:rPr>
      </w:pPr>
      <w:r w:rsidRPr="00D511CB">
        <w:rPr>
          <w:rFonts w:ascii="Arial" w:hAnsi="Arial" w:cs="Arial"/>
          <w:color w:val="333333"/>
          <w:sz w:val="20"/>
          <w:szCs w:val="20"/>
          <w:shd w:val="clear" w:color="auto" w:fill="F2F4F7"/>
        </w:rPr>
        <w:t>On December 5, 2007, the common stock of Google, Inc. (GOOG) was trading at $698.51. One year later, the shares sold for $301.99. Google has never paid a common stock dividend. What rate of return would you have earned on your investment had you purchased the shares on December 5, 2007? The rate of return you would have earned is what percent?</w:t>
      </w:r>
    </w:p>
    <w:p w:rsidR="00D511CB" w:rsidRPr="00D511CB" w:rsidRDefault="00D511CB" w:rsidP="00D511CB">
      <w:pPr>
        <w:pStyle w:val="ListParagraph"/>
        <w:numPr>
          <w:ilvl w:val="0"/>
          <w:numId w:val="2"/>
        </w:numPr>
        <w:shd w:val="clear" w:color="auto" w:fill="F2F4F7"/>
        <w:spacing w:after="240" w:line="240" w:lineRule="auto"/>
        <w:rPr>
          <w:rFonts w:ascii="Arial" w:eastAsia="Times New Roman" w:hAnsi="Arial" w:cs="Arial"/>
          <w:color w:val="333333"/>
          <w:sz w:val="24"/>
          <w:szCs w:val="24"/>
        </w:rPr>
      </w:pPr>
      <w:bookmarkStart w:id="0" w:name="_GoBack"/>
      <w:bookmarkEnd w:id="0"/>
      <w:r w:rsidRPr="00D511CB">
        <w:rPr>
          <w:rFonts w:ascii="Arial" w:eastAsia="Times New Roman" w:hAnsi="Arial" w:cs="Arial"/>
          <w:color w:val="333333"/>
          <w:sz w:val="24"/>
          <w:szCs w:val="24"/>
          <w:bdr w:val="none" w:sz="0" w:space="0" w:color="auto" w:frame="1"/>
        </w:rPr>
        <w:t>Caswell</w:t>
      </w:r>
      <w:r w:rsidRPr="00D511CB">
        <w:rPr>
          <w:rFonts w:ascii="inherit" w:eastAsia="Times New Roman" w:hAnsi="inherit" w:cs="Arial"/>
          <w:color w:val="333333"/>
          <w:sz w:val="20"/>
          <w:szCs w:val="20"/>
          <w:bdr w:val="none" w:sz="0" w:space="0" w:color="auto" w:frame="1"/>
        </w:rPr>
        <w:t xml:space="preserve"> </w:t>
      </w:r>
      <w:r w:rsidRPr="00D511CB">
        <w:rPr>
          <w:rFonts w:ascii="Arial" w:eastAsia="Times New Roman" w:hAnsi="Arial" w:cs="Arial"/>
          <w:color w:val="333333"/>
          <w:sz w:val="24"/>
          <w:szCs w:val="24"/>
        </w:rPr>
        <w:t>Enterprises had the following end-of-year stock prices over the last five years and paid no dividends.</w:t>
      </w:r>
    </w:p>
    <w:tbl>
      <w:tblPr>
        <w:tblW w:w="3105" w:type="dxa"/>
        <w:jc w:val="center"/>
        <w:tblCellSpacing w:w="15" w:type="dxa"/>
        <w:shd w:val="clear" w:color="auto" w:fill="F2F4F7"/>
        <w:tblCellMar>
          <w:top w:w="15" w:type="dxa"/>
          <w:left w:w="15" w:type="dxa"/>
          <w:bottom w:w="15" w:type="dxa"/>
          <w:right w:w="15" w:type="dxa"/>
        </w:tblCellMar>
        <w:tblLook w:val="04A0" w:firstRow="1" w:lastRow="0" w:firstColumn="1" w:lastColumn="0" w:noHBand="0" w:noVBand="1"/>
      </w:tblPr>
      <w:tblGrid>
        <w:gridCol w:w="1256"/>
        <w:gridCol w:w="1849"/>
      </w:tblGrid>
      <w:tr w:rsidR="00D511CB" w:rsidRPr="00D511CB" w:rsidTr="00D511CB">
        <w:trPr>
          <w:tblCellSpacing w:w="15" w:type="dxa"/>
          <w:jc w:val="center"/>
        </w:trPr>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Time</w:t>
            </w:r>
          </w:p>
        </w:tc>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Caswell</w:t>
            </w:r>
          </w:p>
        </w:tc>
      </w:tr>
      <w:tr w:rsidR="00D511CB" w:rsidRPr="00D511CB" w:rsidTr="00D511CB">
        <w:trPr>
          <w:tblCellSpacing w:w="15" w:type="dxa"/>
          <w:jc w:val="center"/>
        </w:trPr>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1</w:t>
            </w:r>
          </w:p>
        </w:tc>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$12</w:t>
            </w:r>
          </w:p>
        </w:tc>
      </w:tr>
      <w:tr w:rsidR="00D511CB" w:rsidRPr="00D511CB" w:rsidTr="00D511CB">
        <w:trPr>
          <w:tblCellSpacing w:w="15" w:type="dxa"/>
          <w:jc w:val="center"/>
        </w:trPr>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2</w:t>
            </w:r>
          </w:p>
        </w:tc>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9</w:t>
            </w:r>
          </w:p>
        </w:tc>
      </w:tr>
      <w:tr w:rsidR="00D511CB" w:rsidRPr="00D511CB" w:rsidTr="00D511CB">
        <w:trPr>
          <w:tblCellSpacing w:w="15" w:type="dxa"/>
          <w:jc w:val="center"/>
        </w:trPr>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3</w:t>
            </w:r>
          </w:p>
        </w:tc>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7</w:t>
            </w:r>
          </w:p>
        </w:tc>
      </w:tr>
      <w:tr w:rsidR="00D511CB" w:rsidRPr="00D511CB" w:rsidTr="00D511CB">
        <w:trPr>
          <w:tblCellSpacing w:w="15" w:type="dxa"/>
          <w:jc w:val="center"/>
        </w:trPr>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4</w:t>
            </w:r>
          </w:p>
        </w:tc>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6</w:t>
            </w:r>
          </w:p>
        </w:tc>
      </w:tr>
      <w:tr w:rsidR="00D511CB" w:rsidRPr="00D511CB" w:rsidTr="00D511CB">
        <w:trPr>
          <w:tblCellSpacing w:w="15" w:type="dxa"/>
          <w:jc w:val="center"/>
        </w:trPr>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5</w:t>
            </w:r>
          </w:p>
        </w:tc>
        <w:tc>
          <w:tcPr>
            <w:tcW w:w="0" w:type="auto"/>
            <w:shd w:val="clear" w:color="auto" w:fill="F2F4F7"/>
            <w:vAlign w:val="center"/>
            <w:hideMark/>
          </w:tcPr>
          <w:p w:rsidR="00D511CB" w:rsidRPr="00D511CB" w:rsidRDefault="00D511CB" w:rsidP="00D511CB">
            <w:pPr>
              <w:spacing w:after="0" w:line="240" w:lineRule="auto"/>
              <w:rPr>
                <w:rFonts w:ascii="inherit" w:eastAsia="Times New Roman" w:hAnsi="inherit" w:cs="Arial"/>
                <w:color w:val="333333"/>
                <w:sz w:val="20"/>
                <w:szCs w:val="20"/>
              </w:rPr>
            </w:pPr>
            <w:r w:rsidRPr="00D511CB">
              <w:rPr>
                <w:rFonts w:ascii="inherit" w:eastAsia="Times New Roman" w:hAnsi="inherit" w:cs="Arial"/>
                <w:color w:val="333333"/>
                <w:sz w:val="20"/>
                <w:szCs w:val="20"/>
              </w:rPr>
              <w:t>8</w:t>
            </w:r>
          </w:p>
        </w:tc>
      </w:tr>
    </w:tbl>
    <w:p w:rsidR="00D511CB" w:rsidRPr="00D511CB" w:rsidRDefault="00D511CB" w:rsidP="00D511CB">
      <w:pPr>
        <w:shd w:val="clear" w:color="auto" w:fill="F2F4F7"/>
        <w:spacing w:after="240" w:line="240" w:lineRule="auto"/>
        <w:rPr>
          <w:rFonts w:ascii="Arial" w:eastAsia="Times New Roman" w:hAnsi="Arial" w:cs="Arial"/>
          <w:color w:val="333333"/>
          <w:sz w:val="24"/>
          <w:szCs w:val="24"/>
        </w:rPr>
      </w:pPr>
    </w:p>
    <w:p w:rsidR="00D511CB" w:rsidRPr="00D511CB" w:rsidRDefault="00D511CB" w:rsidP="00D511CB">
      <w:pPr>
        <w:numPr>
          <w:ilvl w:val="0"/>
          <w:numId w:val="1"/>
        </w:numPr>
        <w:shd w:val="clear" w:color="auto" w:fill="F2F4F7"/>
        <w:spacing w:after="0" w:line="240" w:lineRule="auto"/>
        <w:ind w:left="0"/>
        <w:rPr>
          <w:rFonts w:ascii="inherit" w:eastAsia="Times New Roman" w:hAnsi="inherit" w:cs="Arial"/>
          <w:color w:val="333333"/>
          <w:sz w:val="20"/>
          <w:szCs w:val="20"/>
        </w:rPr>
      </w:pPr>
      <w:r w:rsidRPr="00D511CB">
        <w:rPr>
          <w:rFonts w:ascii="inherit" w:eastAsia="Times New Roman" w:hAnsi="inherit" w:cs="Arial"/>
          <w:color w:val="333333"/>
          <w:sz w:val="20"/>
          <w:szCs w:val="20"/>
        </w:rPr>
        <w:t>Calculate the average rate of return for each year from the above information.</w:t>
      </w:r>
    </w:p>
    <w:p w:rsidR="00D511CB" w:rsidRPr="00D511CB" w:rsidRDefault="00D511CB" w:rsidP="00D511CB">
      <w:pPr>
        <w:numPr>
          <w:ilvl w:val="0"/>
          <w:numId w:val="1"/>
        </w:numPr>
        <w:shd w:val="clear" w:color="auto" w:fill="F2F4F7"/>
        <w:spacing w:after="0" w:line="240" w:lineRule="auto"/>
        <w:ind w:left="0"/>
        <w:rPr>
          <w:rFonts w:ascii="inherit" w:eastAsia="Times New Roman" w:hAnsi="inherit" w:cs="Arial"/>
          <w:color w:val="333333"/>
          <w:sz w:val="20"/>
          <w:szCs w:val="20"/>
        </w:rPr>
      </w:pPr>
      <w:r w:rsidRPr="00D511CB">
        <w:rPr>
          <w:rFonts w:ascii="inherit" w:eastAsia="Times New Roman" w:hAnsi="inherit" w:cs="Arial"/>
          <w:color w:val="333333"/>
          <w:sz w:val="20"/>
          <w:szCs w:val="20"/>
        </w:rPr>
        <w:t>What is the arithmetic average rate of return earned by investing in Caswell's stock over this period?</w:t>
      </w:r>
    </w:p>
    <w:p w:rsidR="00D511CB" w:rsidRPr="00D511CB" w:rsidRDefault="00D511CB" w:rsidP="00D511CB">
      <w:pPr>
        <w:numPr>
          <w:ilvl w:val="0"/>
          <w:numId w:val="1"/>
        </w:numPr>
        <w:shd w:val="clear" w:color="auto" w:fill="F2F4F7"/>
        <w:spacing w:after="0" w:line="240" w:lineRule="auto"/>
        <w:ind w:left="0"/>
        <w:rPr>
          <w:rFonts w:ascii="inherit" w:eastAsia="Times New Roman" w:hAnsi="inherit" w:cs="Arial"/>
          <w:color w:val="333333"/>
          <w:sz w:val="20"/>
          <w:szCs w:val="20"/>
        </w:rPr>
      </w:pPr>
      <w:r w:rsidRPr="00D511CB">
        <w:rPr>
          <w:rFonts w:ascii="inherit" w:eastAsia="Times New Roman" w:hAnsi="inherit" w:cs="Arial"/>
          <w:color w:val="333333"/>
          <w:sz w:val="20"/>
          <w:szCs w:val="20"/>
        </w:rPr>
        <w:t>What is the geometric average rate of return earned by investing in Caswell's stock over this period?</w:t>
      </w:r>
    </w:p>
    <w:p w:rsidR="00D511CB" w:rsidRPr="00D511CB" w:rsidRDefault="00D511CB" w:rsidP="00D511CB">
      <w:pPr>
        <w:numPr>
          <w:ilvl w:val="0"/>
          <w:numId w:val="1"/>
        </w:numPr>
        <w:shd w:val="clear" w:color="auto" w:fill="F2F4F7"/>
        <w:spacing w:after="0" w:line="240" w:lineRule="auto"/>
        <w:ind w:left="0"/>
        <w:rPr>
          <w:rFonts w:ascii="inherit" w:eastAsia="Times New Roman" w:hAnsi="inherit" w:cs="Arial"/>
          <w:color w:val="333333"/>
          <w:sz w:val="20"/>
          <w:szCs w:val="20"/>
        </w:rPr>
      </w:pPr>
      <w:r w:rsidRPr="00D511CB">
        <w:rPr>
          <w:rFonts w:ascii="inherit" w:eastAsia="Times New Roman" w:hAnsi="inherit" w:cs="Arial"/>
          <w:color w:val="333333"/>
          <w:sz w:val="20"/>
          <w:szCs w:val="20"/>
        </w:rPr>
        <w:t>Considering the beginning and ending stock prices for the five-year period are the same, which type of average rate of return best describes the annual rate of return earned over the period (arithmetic or geometric)?</w:t>
      </w:r>
    </w:p>
    <w:p w:rsidR="00D511CB" w:rsidRPr="00D511CB" w:rsidRDefault="00D511CB" w:rsidP="00D511CB">
      <w:pPr>
        <w:numPr>
          <w:ilvl w:val="0"/>
          <w:numId w:val="1"/>
        </w:numPr>
        <w:shd w:val="clear" w:color="auto" w:fill="F2F4F7"/>
        <w:spacing w:after="0" w:line="240" w:lineRule="auto"/>
        <w:ind w:left="0"/>
        <w:rPr>
          <w:rFonts w:ascii="inherit" w:eastAsia="Times New Roman" w:hAnsi="inherit" w:cs="Arial"/>
          <w:color w:val="333333"/>
          <w:sz w:val="20"/>
          <w:szCs w:val="20"/>
        </w:rPr>
      </w:pPr>
      <w:r w:rsidRPr="00D511CB">
        <w:rPr>
          <w:rFonts w:ascii="inherit" w:eastAsia="Times New Roman" w:hAnsi="inherit" w:cs="Arial"/>
          <w:color w:val="333333"/>
          <w:sz w:val="20"/>
          <w:szCs w:val="20"/>
        </w:rPr>
        <w:t>The annual rate of return at the end of year 3 is what percent?</w:t>
      </w:r>
    </w:p>
    <w:p w:rsidR="00D511CB" w:rsidRDefault="00D511CB"/>
    <w:sectPr w:rsidR="00D51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65892"/>
    <w:multiLevelType w:val="hybridMultilevel"/>
    <w:tmpl w:val="0AA0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CF7285"/>
    <w:multiLevelType w:val="multilevel"/>
    <w:tmpl w:val="5A50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CB"/>
    <w:rsid w:val="004362C3"/>
    <w:rsid w:val="00D511CB"/>
    <w:rsid w:val="00E41519"/>
    <w:rsid w:val="00FC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1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1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11CB"/>
  </w:style>
  <w:style w:type="paragraph" w:styleId="ListParagraph">
    <w:name w:val="List Paragraph"/>
    <w:basedOn w:val="Normal"/>
    <w:uiPriority w:val="34"/>
    <w:qFormat/>
    <w:rsid w:val="00D511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1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1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11CB"/>
  </w:style>
  <w:style w:type="paragraph" w:styleId="ListParagraph">
    <w:name w:val="List Paragraph"/>
    <w:basedOn w:val="Normal"/>
    <w:uiPriority w:val="34"/>
    <w:qFormat/>
    <w:rsid w:val="00D51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80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Danielle M</dc:creator>
  <cp:lastModifiedBy>Jones, Danielle M</cp:lastModifiedBy>
  <cp:revision>1</cp:revision>
  <dcterms:created xsi:type="dcterms:W3CDTF">2017-03-02T13:29:00Z</dcterms:created>
  <dcterms:modified xsi:type="dcterms:W3CDTF">2017-03-02T14:13:00Z</dcterms:modified>
</cp:coreProperties>
</file>