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345" w:rsidRPr="00D31945" w:rsidRDefault="00062345" w:rsidP="0033342F">
      <w:pPr>
        <w:widowControl w:val="0"/>
        <w:autoSpaceDE w:val="0"/>
        <w:autoSpaceDN w:val="0"/>
        <w:adjustRightInd w:val="0"/>
        <w:spacing w:after="240"/>
        <w:rPr>
          <w:rFonts w:asciiTheme="majorHAnsi" w:eastAsiaTheme="minorHAnsi" w:hAnsiTheme="majorHAnsi" w:cstheme="majorHAnsi"/>
          <w:b/>
          <w:sz w:val="32"/>
          <w:szCs w:val="32"/>
        </w:rPr>
      </w:pPr>
      <w:r w:rsidRPr="00D31945">
        <w:rPr>
          <w:rFonts w:asciiTheme="majorHAnsi" w:eastAsiaTheme="minorHAnsi" w:hAnsiTheme="majorHAnsi" w:cstheme="majorHAnsi"/>
          <w:b/>
          <w:sz w:val="32"/>
          <w:szCs w:val="32"/>
        </w:rPr>
        <w:t xml:space="preserve">Week 1 </w:t>
      </w:r>
    </w:p>
    <w:p w:rsidR="00062345" w:rsidRPr="00D31945" w:rsidRDefault="00062345" w:rsidP="0033342F">
      <w:pPr>
        <w:widowControl w:val="0"/>
        <w:autoSpaceDE w:val="0"/>
        <w:autoSpaceDN w:val="0"/>
        <w:adjustRightInd w:val="0"/>
        <w:spacing w:after="240"/>
        <w:rPr>
          <w:rFonts w:asciiTheme="majorHAnsi" w:eastAsiaTheme="minorHAnsi" w:hAnsiTheme="majorHAnsi" w:cstheme="majorHAnsi"/>
          <w:b/>
          <w:sz w:val="32"/>
          <w:szCs w:val="32"/>
        </w:rPr>
      </w:pPr>
      <w:bookmarkStart w:id="0" w:name="_GoBack"/>
      <w:r w:rsidRPr="00D31945">
        <w:rPr>
          <w:rFonts w:asciiTheme="majorHAnsi" w:eastAsiaTheme="minorHAnsi" w:hAnsiTheme="majorHAnsi" w:cstheme="majorHAnsi"/>
          <w:b/>
          <w:sz w:val="32"/>
          <w:szCs w:val="32"/>
        </w:rPr>
        <w:t xml:space="preserve">Analytical Application </w:t>
      </w:r>
    </w:p>
    <w:p w:rsidR="0033342F" w:rsidRPr="00D31945" w:rsidRDefault="0033342F" w:rsidP="0033342F">
      <w:pPr>
        <w:widowControl w:val="0"/>
        <w:autoSpaceDE w:val="0"/>
        <w:autoSpaceDN w:val="0"/>
        <w:adjustRightInd w:val="0"/>
        <w:spacing w:after="240"/>
        <w:rPr>
          <w:rFonts w:asciiTheme="majorHAnsi" w:eastAsiaTheme="minorHAnsi" w:hAnsiTheme="majorHAnsi" w:cstheme="majorHAnsi"/>
          <w:b/>
          <w:sz w:val="32"/>
          <w:szCs w:val="32"/>
        </w:rPr>
      </w:pPr>
      <w:r w:rsidRPr="00D31945">
        <w:rPr>
          <w:rFonts w:asciiTheme="majorHAnsi" w:eastAsiaTheme="minorHAnsi" w:hAnsiTheme="majorHAnsi" w:cstheme="majorHAnsi"/>
          <w:b/>
          <w:sz w:val="32"/>
          <w:szCs w:val="32"/>
        </w:rPr>
        <w:t>Using International Financial Markets</w:t>
      </w:r>
    </w:p>
    <w:p w:rsidR="0033342F" w:rsidRPr="00776086" w:rsidRDefault="00F049AA" w:rsidP="0033342F">
      <w:pPr>
        <w:widowControl w:val="0"/>
        <w:autoSpaceDE w:val="0"/>
        <w:autoSpaceDN w:val="0"/>
        <w:adjustRightInd w:val="0"/>
        <w:spacing w:after="240"/>
        <w:rPr>
          <w:rFonts w:asciiTheme="majorHAnsi" w:eastAsiaTheme="minorHAnsi" w:hAnsiTheme="majorHAnsi" w:cstheme="majorHAnsi"/>
          <w:szCs w:val="24"/>
        </w:rPr>
      </w:pPr>
      <w:r w:rsidRPr="00776086">
        <w:rPr>
          <w:rFonts w:asciiTheme="majorHAnsi" w:eastAsiaTheme="minorHAnsi" w:hAnsiTheme="majorHAnsi" w:cstheme="majorHAnsi"/>
          <w:szCs w:val="24"/>
        </w:rPr>
        <w:t>Worcester</w:t>
      </w:r>
      <w:r w:rsidR="0033342F" w:rsidRPr="00776086">
        <w:rPr>
          <w:rFonts w:asciiTheme="majorHAnsi" w:eastAsiaTheme="minorHAnsi" w:hAnsiTheme="majorHAnsi" w:cstheme="majorHAnsi"/>
          <w:szCs w:val="24"/>
        </w:rPr>
        <w:t xml:space="preserve"> Tool Company is a large</w:t>
      </w:r>
      <w:r w:rsidR="005804A2">
        <w:rPr>
          <w:rFonts w:asciiTheme="majorHAnsi" w:eastAsiaTheme="minorHAnsi" w:hAnsiTheme="majorHAnsi" w:cstheme="majorHAnsi"/>
          <w:szCs w:val="24"/>
        </w:rPr>
        <w:t>,</w:t>
      </w:r>
      <w:r w:rsidR="0033342F" w:rsidRPr="00776086">
        <w:rPr>
          <w:rFonts w:asciiTheme="majorHAnsi" w:eastAsiaTheme="minorHAnsi" w:hAnsiTheme="majorHAnsi" w:cstheme="majorHAnsi"/>
          <w:szCs w:val="24"/>
        </w:rPr>
        <w:t xml:space="preserve"> U.S.-based</w:t>
      </w:r>
      <w:r w:rsidR="005804A2">
        <w:rPr>
          <w:rFonts w:asciiTheme="majorHAnsi" w:eastAsiaTheme="minorHAnsi" w:hAnsiTheme="majorHAnsi" w:cstheme="majorHAnsi"/>
          <w:szCs w:val="24"/>
        </w:rPr>
        <w:t>,</w:t>
      </w:r>
      <w:r w:rsidR="00081BDB">
        <w:rPr>
          <w:rFonts w:asciiTheme="majorHAnsi" w:eastAsiaTheme="minorHAnsi" w:hAnsiTheme="majorHAnsi" w:cstheme="majorHAnsi"/>
          <w:szCs w:val="24"/>
        </w:rPr>
        <w:t xml:space="preserve"> </w:t>
      </w:r>
      <w:r w:rsidR="0033342F" w:rsidRPr="00776086">
        <w:rPr>
          <w:rFonts w:asciiTheme="majorHAnsi" w:eastAsiaTheme="minorHAnsi" w:hAnsiTheme="majorHAnsi" w:cstheme="majorHAnsi"/>
          <w:szCs w:val="24"/>
        </w:rPr>
        <w:t xml:space="preserve">multinational corporation with subsidiaries in eight different countries. </w:t>
      </w:r>
      <w:r w:rsidR="00062345" w:rsidRPr="00776086">
        <w:rPr>
          <w:rFonts w:asciiTheme="majorHAnsi" w:eastAsiaTheme="minorHAnsi" w:hAnsiTheme="majorHAnsi" w:cstheme="majorHAnsi"/>
          <w:szCs w:val="24"/>
        </w:rPr>
        <w:t xml:space="preserve">The parent of </w:t>
      </w:r>
      <w:r w:rsidRPr="00776086">
        <w:rPr>
          <w:rFonts w:asciiTheme="majorHAnsi" w:eastAsiaTheme="minorHAnsi" w:hAnsiTheme="majorHAnsi" w:cstheme="majorHAnsi"/>
          <w:szCs w:val="24"/>
        </w:rPr>
        <w:t>Worcester</w:t>
      </w:r>
      <w:r w:rsidR="00062345" w:rsidRPr="00776086">
        <w:rPr>
          <w:rFonts w:asciiTheme="majorHAnsi" w:eastAsiaTheme="minorHAnsi" w:hAnsiTheme="majorHAnsi" w:cstheme="majorHAnsi"/>
          <w:szCs w:val="24"/>
        </w:rPr>
        <w:t xml:space="preserve"> provided an </w:t>
      </w:r>
      <w:r w:rsidR="0033342F" w:rsidRPr="00776086">
        <w:rPr>
          <w:rFonts w:asciiTheme="majorHAnsi" w:eastAsiaTheme="minorHAnsi" w:hAnsiTheme="majorHAnsi" w:cstheme="majorHAnsi"/>
          <w:szCs w:val="24"/>
        </w:rPr>
        <w:t xml:space="preserve">initial cash infusion to establish each subsidiary. </w:t>
      </w:r>
      <w:r w:rsidR="005804A2">
        <w:rPr>
          <w:rFonts w:asciiTheme="majorHAnsi" w:eastAsiaTheme="minorHAnsi" w:hAnsiTheme="majorHAnsi" w:cstheme="majorHAnsi"/>
          <w:szCs w:val="24"/>
        </w:rPr>
        <w:t>E</w:t>
      </w:r>
      <w:r w:rsidR="0033342F" w:rsidRPr="00776086">
        <w:rPr>
          <w:rFonts w:asciiTheme="majorHAnsi" w:eastAsiaTheme="minorHAnsi" w:hAnsiTheme="majorHAnsi" w:cstheme="majorHAnsi"/>
          <w:szCs w:val="24"/>
        </w:rPr>
        <w:t>ach subsidiary</w:t>
      </w:r>
      <w:r w:rsidR="005804A2">
        <w:rPr>
          <w:rFonts w:asciiTheme="majorHAnsi" w:eastAsiaTheme="minorHAnsi" w:hAnsiTheme="majorHAnsi" w:cstheme="majorHAnsi"/>
          <w:szCs w:val="24"/>
        </w:rPr>
        <w:t>,</w:t>
      </w:r>
      <w:r w:rsidR="0033342F" w:rsidRPr="00776086">
        <w:rPr>
          <w:rFonts w:asciiTheme="majorHAnsi" w:eastAsiaTheme="minorHAnsi" w:hAnsiTheme="majorHAnsi" w:cstheme="majorHAnsi"/>
          <w:szCs w:val="24"/>
        </w:rPr>
        <w:t xml:space="preserve"> </w:t>
      </w:r>
      <w:r w:rsidR="005804A2">
        <w:rPr>
          <w:rFonts w:asciiTheme="majorHAnsi" w:eastAsiaTheme="minorHAnsi" w:hAnsiTheme="majorHAnsi" w:cstheme="majorHAnsi"/>
          <w:szCs w:val="24"/>
        </w:rPr>
        <w:t>h</w:t>
      </w:r>
      <w:r w:rsidR="005804A2" w:rsidRPr="00776086">
        <w:rPr>
          <w:rFonts w:asciiTheme="majorHAnsi" w:eastAsiaTheme="minorHAnsi" w:hAnsiTheme="majorHAnsi" w:cstheme="majorHAnsi"/>
          <w:szCs w:val="24"/>
        </w:rPr>
        <w:t xml:space="preserve">owever, </w:t>
      </w:r>
      <w:r w:rsidR="0033342F" w:rsidRPr="00776086">
        <w:rPr>
          <w:rFonts w:asciiTheme="majorHAnsi" w:eastAsiaTheme="minorHAnsi" w:hAnsiTheme="majorHAnsi" w:cstheme="majorHAnsi"/>
          <w:szCs w:val="24"/>
        </w:rPr>
        <w:t xml:space="preserve">has had to finance its own growth since then. The parent and subsidiaries of </w:t>
      </w:r>
      <w:r w:rsidRPr="00776086">
        <w:rPr>
          <w:rFonts w:asciiTheme="majorHAnsi" w:eastAsiaTheme="minorHAnsi" w:hAnsiTheme="majorHAnsi" w:cstheme="majorHAnsi"/>
          <w:szCs w:val="24"/>
        </w:rPr>
        <w:t xml:space="preserve">the </w:t>
      </w:r>
      <w:r w:rsidR="005804A2">
        <w:rPr>
          <w:rFonts w:asciiTheme="majorHAnsi" w:eastAsiaTheme="minorHAnsi" w:hAnsiTheme="majorHAnsi" w:cstheme="majorHAnsi"/>
          <w:szCs w:val="24"/>
        </w:rPr>
        <w:t>f</w:t>
      </w:r>
      <w:r w:rsidRPr="00776086">
        <w:rPr>
          <w:rFonts w:asciiTheme="majorHAnsi" w:eastAsiaTheme="minorHAnsi" w:hAnsiTheme="majorHAnsi" w:cstheme="majorHAnsi"/>
          <w:szCs w:val="24"/>
        </w:rPr>
        <w:t>irm</w:t>
      </w:r>
      <w:r w:rsidR="0033342F" w:rsidRPr="00776086">
        <w:rPr>
          <w:rFonts w:asciiTheme="majorHAnsi" w:eastAsiaTheme="minorHAnsi" w:hAnsiTheme="majorHAnsi" w:cstheme="majorHAnsi"/>
          <w:szCs w:val="24"/>
        </w:rPr>
        <w:t xml:space="preserve"> typically use Citigroup (with branches in numerous countries) when possible to facilitate any flow of funds necessary.</w:t>
      </w:r>
    </w:p>
    <w:p w:rsidR="00D31945" w:rsidRPr="00D31945" w:rsidRDefault="0033342F" w:rsidP="00D31945">
      <w:pPr>
        <w:pStyle w:val="ListParagraph"/>
        <w:widowControl w:val="0"/>
        <w:numPr>
          <w:ilvl w:val="0"/>
          <w:numId w:val="2"/>
        </w:numPr>
        <w:autoSpaceDE w:val="0"/>
        <w:autoSpaceDN w:val="0"/>
        <w:adjustRightInd w:val="0"/>
        <w:spacing w:after="240"/>
        <w:rPr>
          <w:rFonts w:asciiTheme="majorHAnsi" w:eastAsiaTheme="minorHAnsi" w:hAnsiTheme="majorHAnsi" w:cstheme="majorHAnsi"/>
          <w:szCs w:val="24"/>
        </w:rPr>
      </w:pPr>
      <w:r w:rsidRPr="00D31945">
        <w:rPr>
          <w:rFonts w:asciiTheme="majorHAnsi" w:eastAsiaTheme="minorHAnsi" w:hAnsiTheme="majorHAnsi" w:cstheme="majorHAnsi"/>
          <w:szCs w:val="24"/>
        </w:rPr>
        <w:t xml:space="preserve">Explain the various ways in which Citigroup could facilitate </w:t>
      </w:r>
      <w:r w:rsidR="00F049AA" w:rsidRPr="00D31945">
        <w:rPr>
          <w:rFonts w:asciiTheme="majorHAnsi" w:eastAsiaTheme="minorHAnsi" w:hAnsiTheme="majorHAnsi" w:cstheme="majorHAnsi"/>
          <w:szCs w:val="24"/>
        </w:rPr>
        <w:t>Worcester’s</w:t>
      </w:r>
      <w:r w:rsidRPr="00D31945">
        <w:rPr>
          <w:rFonts w:asciiTheme="majorHAnsi" w:eastAsiaTheme="minorHAnsi" w:hAnsiTheme="majorHAnsi" w:cstheme="majorHAnsi"/>
          <w:szCs w:val="24"/>
        </w:rPr>
        <w:t xml:space="preserve"> flow of funds, and identify the type of financial market where that flow of funds occurs. For each type of financing transaction, specify whether Citigroup would serve as the creditor or would simply </w:t>
      </w:r>
      <w:r w:rsidR="00081BDB">
        <w:rPr>
          <w:rFonts w:asciiTheme="majorHAnsi" w:eastAsiaTheme="minorHAnsi" w:hAnsiTheme="majorHAnsi" w:cstheme="majorHAnsi"/>
          <w:szCs w:val="24"/>
        </w:rPr>
        <w:t>facilitate</w:t>
      </w:r>
      <w:r w:rsidRPr="00D31945">
        <w:rPr>
          <w:rFonts w:asciiTheme="majorHAnsi" w:eastAsiaTheme="minorHAnsi" w:hAnsiTheme="majorHAnsi" w:cstheme="majorHAnsi"/>
          <w:szCs w:val="24"/>
        </w:rPr>
        <w:t xml:space="preserve"> the flow of funds to </w:t>
      </w:r>
      <w:r w:rsidR="00F049AA" w:rsidRPr="00D31945">
        <w:rPr>
          <w:rFonts w:asciiTheme="majorHAnsi" w:eastAsiaTheme="minorHAnsi" w:hAnsiTheme="majorHAnsi" w:cstheme="majorHAnsi"/>
          <w:szCs w:val="24"/>
        </w:rPr>
        <w:t>the firm</w:t>
      </w:r>
      <w:r w:rsidRPr="00D31945">
        <w:rPr>
          <w:rFonts w:asciiTheme="majorHAnsi" w:eastAsiaTheme="minorHAnsi" w:hAnsiTheme="majorHAnsi" w:cstheme="majorHAnsi"/>
          <w:szCs w:val="24"/>
        </w:rPr>
        <w:t>.</w:t>
      </w:r>
    </w:p>
    <w:p w:rsidR="0033342F" w:rsidRPr="004B2DF3" w:rsidRDefault="0033342F" w:rsidP="00D31945">
      <w:pPr>
        <w:pStyle w:val="ListParagraph"/>
        <w:widowControl w:val="0"/>
        <w:numPr>
          <w:ilvl w:val="0"/>
          <w:numId w:val="2"/>
        </w:numPr>
        <w:autoSpaceDE w:val="0"/>
        <w:autoSpaceDN w:val="0"/>
        <w:adjustRightInd w:val="0"/>
        <w:spacing w:after="240"/>
        <w:rPr>
          <w:rFonts w:ascii="Times New Roman" w:eastAsiaTheme="minorHAnsi" w:hAnsi="Times New Roman"/>
          <w:szCs w:val="24"/>
        </w:rPr>
      </w:pPr>
      <w:r w:rsidRPr="00D31945">
        <w:rPr>
          <w:rFonts w:asciiTheme="majorHAnsi" w:eastAsiaTheme="minorHAnsi" w:hAnsiTheme="majorHAnsi" w:cstheme="majorHAnsi"/>
          <w:szCs w:val="24"/>
        </w:rPr>
        <w:t>Recently, the British subsidiary called on Citigroup for a medium-term loan and was off</w:t>
      </w:r>
      <w:r w:rsidR="00081BDB">
        <w:rPr>
          <w:rFonts w:asciiTheme="majorHAnsi" w:eastAsiaTheme="minorHAnsi" w:hAnsiTheme="majorHAnsi" w:cstheme="majorHAnsi"/>
          <w:szCs w:val="24"/>
        </w:rPr>
        <w:t>ered the following alternatives.</w:t>
      </w:r>
      <w:r w:rsidR="004B2DF3">
        <w:rPr>
          <w:rFonts w:asciiTheme="majorHAnsi" w:eastAsiaTheme="minorHAnsi" w:hAnsiTheme="majorHAnsi" w:cstheme="majorHAnsi"/>
          <w:szCs w:val="24"/>
        </w:rPr>
        <w:t xml:space="preserve"> </w:t>
      </w:r>
      <w:r w:rsidR="004B2DF3">
        <w:rPr>
          <w:rFonts w:ascii="Times New Roman" w:hAnsi="Times New Roman"/>
        </w:rPr>
        <w:t>D</w:t>
      </w:r>
      <w:r w:rsidR="004B2DF3" w:rsidRPr="004B2DF3">
        <w:rPr>
          <w:rFonts w:ascii="Times New Roman" w:hAnsi="Times New Roman"/>
        </w:rPr>
        <w:t xml:space="preserve">iscuss which </w:t>
      </w:r>
      <w:proofErr w:type="gramStart"/>
      <w:r w:rsidR="004B2DF3" w:rsidRPr="004B2DF3">
        <w:rPr>
          <w:rFonts w:ascii="Times New Roman" w:hAnsi="Times New Roman"/>
        </w:rPr>
        <w:t>is the best financing alternative</w:t>
      </w:r>
      <w:proofErr w:type="gramEnd"/>
      <w:r w:rsidR="004B2DF3" w:rsidRPr="004B2DF3">
        <w:rPr>
          <w:rFonts w:ascii="Times New Roman" w:hAnsi="Times New Roman"/>
        </w:rPr>
        <w:t>.</w:t>
      </w:r>
    </w:p>
    <w:tbl>
      <w:tblPr>
        <w:tblW w:w="0" w:type="auto"/>
        <w:tblInd w:w="720" w:type="dxa"/>
        <w:tblBorders>
          <w:top w:val="nil"/>
          <w:left w:val="nil"/>
          <w:right w:val="nil"/>
        </w:tblBorders>
        <w:tblLayout w:type="fixed"/>
        <w:tblLook w:val="0000" w:firstRow="0" w:lastRow="0" w:firstColumn="0" w:lastColumn="0" w:noHBand="0" w:noVBand="0"/>
      </w:tblPr>
      <w:tblGrid>
        <w:gridCol w:w="3840"/>
        <w:gridCol w:w="3080"/>
      </w:tblGrid>
      <w:tr w:rsidR="0033342F" w:rsidRPr="00776086" w:rsidTr="00D31945">
        <w:tc>
          <w:tcPr>
            <w:tcW w:w="3840" w:type="dxa"/>
            <w:vAlign w:val="center"/>
          </w:tcPr>
          <w:p w:rsidR="0033342F" w:rsidRPr="00D31945" w:rsidRDefault="0033342F">
            <w:pPr>
              <w:widowControl w:val="0"/>
              <w:autoSpaceDE w:val="0"/>
              <w:autoSpaceDN w:val="0"/>
              <w:adjustRightInd w:val="0"/>
              <w:rPr>
                <w:rFonts w:asciiTheme="majorHAnsi" w:eastAsiaTheme="minorHAnsi" w:hAnsiTheme="majorHAnsi" w:cstheme="majorHAnsi"/>
                <w:b/>
                <w:szCs w:val="24"/>
              </w:rPr>
            </w:pPr>
            <w:r w:rsidRPr="00D31945">
              <w:rPr>
                <w:rFonts w:asciiTheme="majorHAnsi" w:eastAsiaTheme="minorHAnsi" w:hAnsiTheme="majorHAnsi" w:cstheme="majorHAnsi"/>
                <w:b/>
                <w:szCs w:val="24"/>
              </w:rPr>
              <w:t>LOAN DENOMINATED IN</w:t>
            </w:r>
          </w:p>
        </w:tc>
        <w:tc>
          <w:tcPr>
            <w:tcW w:w="3080" w:type="dxa"/>
            <w:vAlign w:val="center"/>
          </w:tcPr>
          <w:p w:rsidR="0033342F" w:rsidRPr="00D31945" w:rsidRDefault="0033342F">
            <w:pPr>
              <w:widowControl w:val="0"/>
              <w:autoSpaceDE w:val="0"/>
              <w:autoSpaceDN w:val="0"/>
              <w:adjustRightInd w:val="0"/>
              <w:rPr>
                <w:rFonts w:asciiTheme="majorHAnsi" w:eastAsiaTheme="minorHAnsi" w:hAnsiTheme="majorHAnsi" w:cstheme="majorHAnsi"/>
                <w:b/>
                <w:szCs w:val="24"/>
              </w:rPr>
            </w:pPr>
            <w:r w:rsidRPr="00D31945">
              <w:rPr>
                <w:rFonts w:asciiTheme="majorHAnsi" w:eastAsiaTheme="minorHAnsi" w:hAnsiTheme="majorHAnsi" w:cstheme="majorHAnsi"/>
                <w:b/>
                <w:szCs w:val="24"/>
              </w:rPr>
              <w:t>ANNUALIZED RATE</w:t>
            </w:r>
          </w:p>
        </w:tc>
      </w:tr>
      <w:tr w:rsidR="0033342F" w:rsidRPr="00776086" w:rsidTr="00D31945">
        <w:tblPrEx>
          <w:tblBorders>
            <w:top w:val="none" w:sz="0" w:space="0" w:color="auto"/>
          </w:tblBorders>
        </w:tblPrEx>
        <w:tc>
          <w:tcPr>
            <w:tcW w:w="384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British pounds</w:t>
            </w:r>
          </w:p>
        </w:tc>
        <w:tc>
          <w:tcPr>
            <w:tcW w:w="308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13%</w:t>
            </w:r>
          </w:p>
        </w:tc>
      </w:tr>
      <w:tr w:rsidR="0033342F" w:rsidRPr="00776086" w:rsidTr="00D31945">
        <w:tblPrEx>
          <w:tblBorders>
            <w:top w:val="none" w:sz="0" w:space="0" w:color="auto"/>
          </w:tblBorders>
        </w:tblPrEx>
        <w:tc>
          <w:tcPr>
            <w:tcW w:w="384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U.S. dollars</w:t>
            </w:r>
          </w:p>
        </w:tc>
        <w:tc>
          <w:tcPr>
            <w:tcW w:w="308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11%</w:t>
            </w:r>
          </w:p>
        </w:tc>
      </w:tr>
      <w:tr w:rsidR="0033342F" w:rsidRPr="00776086" w:rsidTr="00D31945">
        <w:tblPrEx>
          <w:tblBorders>
            <w:top w:val="none" w:sz="0" w:space="0" w:color="auto"/>
          </w:tblBorders>
        </w:tblPrEx>
        <w:tc>
          <w:tcPr>
            <w:tcW w:w="384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Canadian dollars</w:t>
            </w:r>
          </w:p>
        </w:tc>
        <w:tc>
          <w:tcPr>
            <w:tcW w:w="308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10%</w:t>
            </w:r>
          </w:p>
        </w:tc>
      </w:tr>
      <w:tr w:rsidR="0033342F" w:rsidRPr="00776086" w:rsidTr="00D31945">
        <w:tc>
          <w:tcPr>
            <w:tcW w:w="384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Japanese yen</w:t>
            </w:r>
          </w:p>
        </w:tc>
        <w:tc>
          <w:tcPr>
            <w:tcW w:w="3080" w:type="dxa"/>
            <w:vAlign w:val="center"/>
          </w:tcPr>
          <w:p w:rsidR="0033342F" w:rsidRPr="00776086" w:rsidRDefault="0033342F">
            <w:pPr>
              <w:widowControl w:val="0"/>
              <w:autoSpaceDE w:val="0"/>
              <w:autoSpaceDN w:val="0"/>
              <w:adjustRightInd w:val="0"/>
              <w:rPr>
                <w:rFonts w:asciiTheme="majorHAnsi" w:eastAsiaTheme="minorHAnsi" w:hAnsiTheme="majorHAnsi" w:cstheme="majorHAnsi"/>
                <w:szCs w:val="24"/>
              </w:rPr>
            </w:pPr>
            <w:r w:rsidRPr="00776086">
              <w:rPr>
                <w:rFonts w:asciiTheme="majorHAnsi" w:eastAsiaTheme="minorHAnsi" w:hAnsiTheme="majorHAnsi" w:cstheme="majorHAnsi"/>
                <w:szCs w:val="24"/>
              </w:rPr>
              <w:t>8%</w:t>
            </w:r>
          </w:p>
        </w:tc>
      </w:tr>
      <w:bookmarkEnd w:id="0"/>
    </w:tbl>
    <w:p w:rsidR="00A669FC" w:rsidRPr="00776086" w:rsidRDefault="004B2DF3" w:rsidP="0033342F">
      <w:pPr>
        <w:rPr>
          <w:rFonts w:asciiTheme="majorHAnsi" w:hAnsiTheme="majorHAnsi" w:cstheme="majorHAnsi"/>
          <w:szCs w:val="24"/>
        </w:rPr>
      </w:pPr>
    </w:p>
    <w:sectPr w:rsidR="00A669FC" w:rsidRPr="00776086" w:rsidSect="00CB03A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16A35"/>
    <w:multiLevelType w:val="singleLevel"/>
    <w:tmpl w:val="82DA890E"/>
    <w:lvl w:ilvl="0">
      <w:start w:val="2"/>
      <w:numFmt w:val="decimal"/>
      <w:lvlText w:val="%1."/>
      <w:lvlJc w:val="left"/>
      <w:pPr>
        <w:tabs>
          <w:tab w:val="num" w:pos="720"/>
        </w:tabs>
        <w:ind w:left="720" w:hanging="360"/>
      </w:pPr>
      <w:rPr>
        <w:rFonts w:hint="default"/>
      </w:rPr>
    </w:lvl>
  </w:abstractNum>
  <w:abstractNum w:abstractNumId="1" w15:restartNumberingAfterBreak="0">
    <w:nsid w:val="7FF7039B"/>
    <w:multiLevelType w:val="hybridMultilevel"/>
    <w:tmpl w:val="F028D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42F"/>
    <w:rsid w:val="00062345"/>
    <w:rsid w:val="00081BDB"/>
    <w:rsid w:val="0033342F"/>
    <w:rsid w:val="004B2DF3"/>
    <w:rsid w:val="005804A2"/>
    <w:rsid w:val="005B43E1"/>
    <w:rsid w:val="006A67C8"/>
    <w:rsid w:val="00770A9B"/>
    <w:rsid w:val="00776086"/>
    <w:rsid w:val="00C44C32"/>
    <w:rsid w:val="00D31945"/>
    <w:rsid w:val="00D37356"/>
    <w:rsid w:val="00F049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C52E9-E8C6-43FE-AE94-1A93F247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42F"/>
    <w:rPr>
      <w:rFonts w:ascii="Courier" w:eastAsia="Times New Roman" w:hAnsi="Courier" w:cs="Times New Roman"/>
      <w:szCs w:val="20"/>
    </w:rPr>
  </w:style>
  <w:style w:type="paragraph" w:styleId="Heading1">
    <w:name w:val="heading 1"/>
    <w:basedOn w:val="Normal"/>
    <w:next w:val="Normal"/>
    <w:link w:val="Heading1Char"/>
    <w:qFormat/>
    <w:rsid w:val="00F049AA"/>
    <w:pPr>
      <w:keepNext/>
      <w:tabs>
        <w:tab w:val="left" w:pos="-720"/>
        <w:tab w:val="left" w:pos="360"/>
      </w:tabs>
      <w:jc w:val="both"/>
      <w:outlineLvl w:val="0"/>
    </w:pPr>
    <w:rPr>
      <w:rFonts w:ascii="Century Gothic" w:hAnsi="Century Gothic"/>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3342F"/>
    <w:rPr>
      <w:rFonts w:ascii="Courier New" w:hAnsi="Courier New"/>
      <w:sz w:val="20"/>
    </w:rPr>
  </w:style>
  <w:style w:type="character" w:customStyle="1" w:styleId="PlainTextChar">
    <w:name w:val="Plain Text Char"/>
    <w:basedOn w:val="DefaultParagraphFont"/>
    <w:link w:val="PlainText"/>
    <w:rsid w:val="0033342F"/>
    <w:rPr>
      <w:rFonts w:ascii="Courier New" w:eastAsia="Times New Roman" w:hAnsi="Courier New" w:cs="Times New Roman"/>
      <w:sz w:val="20"/>
      <w:szCs w:val="20"/>
    </w:rPr>
  </w:style>
  <w:style w:type="character" w:customStyle="1" w:styleId="Heading1Char">
    <w:name w:val="Heading 1 Char"/>
    <w:basedOn w:val="DefaultParagraphFont"/>
    <w:link w:val="Heading1"/>
    <w:rsid w:val="00F049AA"/>
    <w:rPr>
      <w:rFonts w:ascii="Century Gothic" w:eastAsia="Times New Roman" w:hAnsi="Century Gothic" w:cs="Times New Roman"/>
      <w:b/>
      <w:i/>
      <w:sz w:val="28"/>
      <w:szCs w:val="20"/>
    </w:rPr>
  </w:style>
  <w:style w:type="paragraph" w:styleId="BodyTextIndent">
    <w:name w:val="Body Text Indent"/>
    <w:basedOn w:val="Normal"/>
    <w:link w:val="BodyTextIndentChar"/>
    <w:rsid w:val="00F049AA"/>
    <w:pPr>
      <w:tabs>
        <w:tab w:val="left" w:pos="-720"/>
        <w:tab w:val="left" w:pos="0"/>
        <w:tab w:val="left" w:pos="360"/>
      </w:tabs>
      <w:ind w:left="360" w:hanging="360"/>
      <w:jc w:val="both"/>
    </w:pPr>
    <w:rPr>
      <w:rFonts w:ascii="Times New Roman" w:hAnsi="Times New Roman"/>
    </w:rPr>
  </w:style>
  <w:style w:type="character" w:customStyle="1" w:styleId="BodyTextIndentChar">
    <w:name w:val="Body Text Indent Char"/>
    <w:basedOn w:val="DefaultParagraphFont"/>
    <w:link w:val="BodyTextIndent"/>
    <w:rsid w:val="00F049AA"/>
    <w:rPr>
      <w:rFonts w:ascii="Times New Roman" w:eastAsia="Times New Roman" w:hAnsi="Times New Roman" w:cs="Times New Roman"/>
      <w:szCs w:val="20"/>
    </w:rPr>
  </w:style>
  <w:style w:type="paragraph" w:styleId="ListParagraph">
    <w:name w:val="List Paragraph"/>
    <w:basedOn w:val="Normal"/>
    <w:uiPriority w:val="34"/>
    <w:qFormat/>
    <w:rsid w:val="00D31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BENARD</dc:creator>
  <cp:lastModifiedBy>Paula Cage</cp:lastModifiedBy>
  <cp:revision>2</cp:revision>
  <dcterms:created xsi:type="dcterms:W3CDTF">2015-07-13T01:49:00Z</dcterms:created>
  <dcterms:modified xsi:type="dcterms:W3CDTF">2015-07-13T01:49:00Z</dcterms:modified>
</cp:coreProperties>
</file>