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3C" w:rsidRDefault="00D9393C" w:rsidP="00D9393C">
      <w:pPr>
        <w:tabs>
          <w:tab w:val="left" w:pos="0"/>
        </w:tabs>
        <w:spacing w:after="80"/>
        <w:ind w:left="360" w:hanging="1440"/>
        <w:jc w:val="center"/>
        <w:rPr>
          <w:b/>
          <w:sz w:val="24"/>
        </w:rPr>
      </w:pPr>
      <w:r>
        <w:rPr>
          <w:b/>
          <w:sz w:val="24"/>
        </w:rPr>
        <w:t>FINANCIAL MANAGEMENT FOR NONPROFITS</w:t>
      </w:r>
    </w:p>
    <w:p w:rsidR="00BB366B" w:rsidRPr="00D9393C" w:rsidRDefault="00FE3B81" w:rsidP="003513A1">
      <w:pPr>
        <w:tabs>
          <w:tab w:val="left" w:pos="0"/>
        </w:tabs>
        <w:spacing w:after="80"/>
        <w:ind w:left="360" w:hanging="144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BB366B" w:rsidRPr="00D9393C" w:rsidRDefault="00BB366B" w:rsidP="00D9393C">
      <w:pPr>
        <w:jc w:val="center"/>
        <w:rPr>
          <w:b/>
          <w:sz w:val="24"/>
        </w:rPr>
      </w:pPr>
    </w:p>
    <w:p w:rsidR="00D9393C" w:rsidRDefault="00D9393C" w:rsidP="00D9393C">
      <w:pPr>
        <w:tabs>
          <w:tab w:val="left" w:pos="0"/>
        </w:tabs>
        <w:spacing w:after="80"/>
        <w:rPr>
          <w:sz w:val="24"/>
        </w:rPr>
      </w:pPr>
      <w:r>
        <w:rPr>
          <w:b/>
          <w:sz w:val="24"/>
        </w:rPr>
        <w:t>1. (10 Points)</w:t>
      </w:r>
      <w:r>
        <w:rPr>
          <w:b/>
          <w:sz w:val="24"/>
        </w:rPr>
        <w:tab/>
      </w:r>
      <w:r w:rsidRPr="007C47C2">
        <w:rPr>
          <w:sz w:val="24"/>
        </w:rPr>
        <w:t xml:space="preserve">The </w:t>
      </w:r>
      <w:r>
        <w:rPr>
          <w:sz w:val="24"/>
        </w:rPr>
        <w:t>Albany</w:t>
      </w:r>
      <w:r w:rsidRPr="007C47C2">
        <w:rPr>
          <w:sz w:val="24"/>
        </w:rPr>
        <w:t xml:space="preserve"> Youth Center</w:t>
      </w:r>
      <w:r>
        <w:rPr>
          <w:sz w:val="24"/>
        </w:rPr>
        <w:t xml:space="preserve"> (AYC)</w:t>
      </w:r>
      <w:r w:rsidRPr="007C47C2">
        <w:rPr>
          <w:sz w:val="24"/>
        </w:rPr>
        <w:t xml:space="preserve"> has an after-school contract with the city. </w:t>
      </w:r>
      <w:r>
        <w:rPr>
          <w:sz w:val="24"/>
        </w:rPr>
        <w:t xml:space="preserve"> Under the contract, MYC earns $3 per day for each child who uses the program.  AYC served the number of children shown below.  The city pays one-third of the amount AYC earns one quarter after the services are delivered, one-third two quarters after and one- third three quarters after. </w:t>
      </w:r>
    </w:p>
    <w:p w:rsidR="00D9393C" w:rsidRDefault="00D9393C" w:rsidP="00D9393C">
      <w:pPr>
        <w:tabs>
          <w:tab w:val="left" w:pos="0"/>
        </w:tabs>
        <w:spacing w:after="80"/>
        <w:ind w:left="360" w:hanging="1440"/>
        <w:rPr>
          <w:sz w:val="24"/>
        </w:rPr>
      </w:pPr>
    </w:p>
    <w:p w:rsidR="00D9393C" w:rsidRDefault="00D9393C" w:rsidP="00D9393C">
      <w:pPr>
        <w:numPr>
          <w:ilvl w:val="0"/>
          <w:numId w:val="1"/>
        </w:numPr>
        <w:tabs>
          <w:tab w:val="left" w:pos="0"/>
        </w:tabs>
        <w:spacing w:after="80"/>
        <w:rPr>
          <w:sz w:val="24"/>
        </w:rPr>
      </w:pPr>
      <w:r>
        <w:rPr>
          <w:sz w:val="24"/>
        </w:rPr>
        <w:t xml:space="preserve">How much can MYC expect to </w:t>
      </w:r>
      <w:r w:rsidRPr="008463AA">
        <w:rPr>
          <w:sz w:val="24"/>
          <w:u w:val="single"/>
        </w:rPr>
        <w:t>earn</w:t>
      </w:r>
      <w:r>
        <w:rPr>
          <w:sz w:val="24"/>
        </w:rPr>
        <w:t xml:space="preserve"> from the city during the fourth quarter?  </w:t>
      </w:r>
    </w:p>
    <w:p w:rsidR="00D9393C" w:rsidRPr="00240536" w:rsidRDefault="00D9393C" w:rsidP="00D9393C">
      <w:pPr>
        <w:numPr>
          <w:ilvl w:val="0"/>
          <w:numId w:val="1"/>
        </w:numPr>
        <w:tabs>
          <w:tab w:val="left" w:pos="0"/>
        </w:tabs>
        <w:spacing w:after="80"/>
        <w:rPr>
          <w:sz w:val="24"/>
        </w:rPr>
      </w:pPr>
      <w:r>
        <w:rPr>
          <w:sz w:val="24"/>
        </w:rPr>
        <w:t xml:space="preserve">How much can MYC expect to </w:t>
      </w:r>
      <w:r>
        <w:rPr>
          <w:sz w:val="24"/>
          <w:u w:val="single"/>
        </w:rPr>
        <w:t>collect</w:t>
      </w:r>
      <w:r>
        <w:rPr>
          <w:sz w:val="24"/>
        </w:rPr>
        <w:t xml:space="preserve"> from the city during the fourth quarter?</w:t>
      </w:r>
    </w:p>
    <w:p w:rsidR="00D9393C" w:rsidRDefault="00D9393C" w:rsidP="00D9393C">
      <w:pPr>
        <w:tabs>
          <w:tab w:val="left" w:pos="0"/>
        </w:tabs>
        <w:spacing w:after="80"/>
        <w:ind w:left="360" w:hanging="1440"/>
        <w:rPr>
          <w:sz w:val="24"/>
        </w:rPr>
      </w:pPr>
    </w:p>
    <w:p w:rsidR="00D9393C" w:rsidRPr="00AE0607" w:rsidRDefault="00D9393C" w:rsidP="00D9393C">
      <w:pPr>
        <w:tabs>
          <w:tab w:val="left" w:pos="0"/>
        </w:tabs>
        <w:spacing w:after="80"/>
        <w:ind w:left="360" w:hanging="1440"/>
        <w:rPr>
          <w:sz w:val="24"/>
        </w:rPr>
      </w:pPr>
      <w:r>
        <w:rPr>
          <w:sz w:val="24"/>
        </w:rPr>
        <w:tab/>
      </w:r>
    </w:p>
    <w:p w:rsidR="00D9393C" w:rsidRDefault="00D9393C" w:rsidP="00D9393C"/>
    <w:tbl>
      <w:tblPr>
        <w:tblStyle w:val="TableGrid"/>
        <w:tblpPr w:leftFromText="180" w:rightFromText="180" w:vertAnchor="text" w:horzAnchor="page" w:tblpX="1909" w:tblpY="-70"/>
        <w:tblW w:w="9736" w:type="dxa"/>
        <w:tblLook w:val="00A0" w:firstRow="1" w:lastRow="0" w:firstColumn="1" w:lastColumn="0" w:noHBand="0" w:noVBand="0"/>
      </w:tblPr>
      <w:tblGrid>
        <w:gridCol w:w="2988"/>
        <w:gridCol w:w="1781"/>
        <w:gridCol w:w="1880"/>
        <w:gridCol w:w="1559"/>
        <w:gridCol w:w="1528"/>
      </w:tblGrid>
      <w:tr w:rsidR="00D9393C">
        <w:trPr>
          <w:trHeight w:val="359"/>
        </w:trPr>
        <w:tc>
          <w:tcPr>
            <w:tcW w:w="2988" w:type="dxa"/>
          </w:tcPr>
          <w:p w:rsidR="00D9393C" w:rsidRDefault="00D9393C" w:rsidP="005B01FC">
            <w:pPr>
              <w:tabs>
                <w:tab w:val="left" w:pos="0"/>
              </w:tabs>
              <w:spacing w:after="80"/>
              <w:rPr>
                <w:sz w:val="24"/>
              </w:rPr>
            </w:pPr>
          </w:p>
        </w:tc>
        <w:tc>
          <w:tcPr>
            <w:tcW w:w="1781" w:type="dxa"/>
          </w:tcPr>
          <w:p w:rsidR="00D9393C" w:rsidRDefault="00D9393C" w:rsidP="005B01FC">
            <w:pPr>
              <w:tabs>
                <w:tab w:val="left" w:pos="0"/>
              </w:tabs>
              <w:spacing w:after="80"/>
              <w:jc w:val="center"/>
              <w:rPr>
                <w:sz w:val="24"/>
              </w:rPr>
            </w:pPr>
            <w:r>
              <w:rPr>
                <w:sz w:val="24"/>
              </w:rPr>
              <w:t>Q1</w:t>
            </w:r>
          </w:p>
        </w:tc>
        <w:tc>
          <w:tcPr>
            <w:tcW w:w="1880" w:type="dxa"/>
          </w:tcPr>
          <w:p w:rsidR="00D9393C" w:rsidRDefault="00D9393C" w:rsidP="005B01FC">
            <w:pPr>
              <w:tabs>
                <w:tab w:val="left" w:pos="0"/>
              </w:tabs>
              <w:spacing w:after="80"/>
              <w:jc w:val="center"/>
              <w:rPr>
                <w:sz w:val="24"/>
              </w:rPr>
            </w:pPr>
            <w:r>
              <w:rPr>
                <w:sz w:val="24"/>
              </w:rPr>
              <w:t>Q2</w:t>
            </w:r>
          </w:p>
        </w:tc>
        <w:tc>
          <w:tcPr>
            <w:tcW w:w="1559" w:type="dxa"/>
          </w:tcPr>
          <w:p w:rsidR="00D9393C" w:rsidRDefault="00D9393C" w:rsidP="005B01FC">
            <w:pPr>
              <w:tabs>
                <w:tab w:val="left" w:pos="0"/>
              </w:tabs>
              <w:spacing w:after="80"/>
              <w:jc w:val="center"/>
              <w:rPr>
                <w:sz w:val="24"/>
              </w:rPr>
            </w:pPr>
            <w:r>
              <w:rPr>
                <w:sz w:val="24"/>
              </w:rPr>
              <w:t>Q3</w:t>
            </w:r>
          </w:p>
        </w:tc>
        <w:tc>
          <w:tcPr>
            <w:tcW w:w="1528" w:type="dxa"/>
          </w:tcPr>
          <w:p w:rsidR="00D9393C" w:rsidRDefault="00D9393C" w:rsidP="005B01FC">
            <w:pPr>
              <w:tabs>
                <w:tab w:val="left" w:pos="0"/>
              </w:tabs>
              <w:spacing w:after="80"/>
              <w:jc w:val="center"/>
              <w:rPr>
                <w:sz w:val="24"/>
              </w:rPr>
            </w:pPr>
            <w:r>
              <w:rPr>
                <w:sz w:val="24"/>
              </w:rPr>
              <w:t>Q4</w:t>
            </w:r>
          </w:p>
        </w:tc>
      </w:tr>
      <w:tr w:rsidR="00D9393C">
        <w:trPr>
          <w:trHeight w:val="359"/>
        </w:trPr>
        <w:tc>
          <w:tcPr>
            <w:tcW w:w="2988" w:type="dxa"/>
          </w:tcPr>
          <w:p w:rsidR="00D9393C" w:rsidRDefault="00D9393C" w:rsidP="005B01FC">
            <w:pPr>
              <w:tabs>
                <w:tab w:val="left" w:pos="0"/>
              </w:tabs>
              <w:spacing w:after="80"/>
              <w:rPr>
                <w:sz w:val="24"/>
              </w:rPr>
            </w:pPr>
            <w:r>
              <w:rPr>
                <w:sz w:val="24"/>
              </w:rPr>
              <w:t xml:space="preserve">Average # of Children Days </w:t>
            </w:r>
          </w:p>
          <w:p w:rsidR="00D9393C" w:rsidRDefault="00D9393C" w:rsidP="005B01FC">
            <w:pPr>
              <w:tabs>
                <w:tab w:val="left" w:pos="0"/>
              </w:tabs>
              <w:spacing w:after="80"/>
              <w:rPr>
                <w:sz w:val="24"/>
              </w:rPr>
            </w:pPr>
            <w:r>
              <w:rPr>
                <w:sz w:val="24"/>
              </w:rPr>
              <w:t>Per Quarter</w:t>
            </w:r>
          </w:p>
        </w:tc>
        <w:tc>
          <w:tcPr>
            <w:tcW w:w="1781" w:type="dxa"/>
          </w:tcPr>
          <w:p w:rsidR="00D9393C" w:rsidRDefault="00D9393C" w:rsidP="005B01FC">
            <w:pPr>
              <w:tabs>
                <w:tab w:val="left" w:pos="0"/>
              </w:tabs>
              <w:spacing w:after="80"/>
              <w:jc w:val="center"/>
              <w:rPr>
                <w:sz w:val="24"/>
              </w:rPr>
            </w:pPr>
            <w:r>
              <w:rPr>
                <w:sz w:val="24"/>
              </w:rPr>
              <w:t>2000</w:t>
            </w:r>
          </w:p>
        </w:tc>
        <w:tc>
          <w:tcPr>
            <w:tcW w:w="1880" w:type="dxa"/>
          </w:tcPr>
          <w:p w:rsidR="00D9393C" w:rsidRDefault="00D9393C" w:rsidP="005B01FC">
            <w:pPr>
              <w:tabs>
                <w:tab w:val="left" w:pos="0"/>
              </w:tabs>
              <w:spacing w:after="80"/>
              <w:jc w:val="center"/>
              <w:rPr>
                <w:sz w:val="24"/>
              </w:rPr>
            </w:pPr>
            <w:r>
              <w:rPr>
                <w:sz w:val="24"/>
              </w:rPr>
              <w:t>2500</w:t>
            </w:r>
          </w:p>
        </w:tc>
        <w:tc>
          <w:tcPr>
            <w:tcW w:w="1559" w:type="dxa"/>
          </w:tcPr>
          <w:p w:rsidR="00D9393C" w:rsidRDefault="00D9393C" w:rsidP="005B01FC">
            <w:pPr>
              <w:tabs>
                <w:tab w:val="left" w:pos="0"/>
              </w:tabs>
              <w:spacing w:after="80"/>
              <w:jc w:val="center"/>
              <w:rPr>
                <w:sz w:val="24"/>
              </w:rPr>
            </w:pPr>
            <w:r>
              <w:rPr>
                <w:sz w:val="24"/>
              </w:rPr>
              <w:t>3000</w:t>
            </w:r>
          </w:p>
        </w:tc>
        <w:tc>
          <w:tcPr>
            <w:tcW w:w="1528" w:type="dxa"/>
          </w:tcPr>
          <w:p w:rsidR="00D9393C" w:rsidRDefault="00D9393C" w:rsidP="005B01FC">
            <w:pPr>
              <w:tabs>
                <w:tab w:val="left" w:pos="0"/>
              </w:tabs>
              <w:spacing w:after="80"/>
              <w:jc w:val="center"/>
              <w:rPr>
                <w:sz w:val="24"/>
              </w:rPr>
            </w:pPr>
            <w:r>
              <w:rPr>
                <w:sz w:val="24"/>
              </w:rPr>
              <w:t>4000</w:t>
            </w:r>
          </w:p>
        </w:tc>
      </w:tr>
    </w:tbl>
    <w:p w:rsidR="00BB366B" w:rsidRDefault="00BB366B"/>
    <w:p w:rsidR="00BB366B" w:rsidRDefault="00BB366B"/>
    <w:p w:rsidR="00BB366B" w:rsidRDefault="00BB366B" w:rsidP="00BB366B">
      <w:pPr>
        <w:tabs>
          <w:tab w:val="left" w:pos="0"/>
        </w:tabs>
        <w:spacing w:after="80"/>
        <w:ind w:left="360" w:hanging="1440"/>
        <w:rPr>
          <w:sz w:val="24"/>
        </w:rPr>
      </w:pPr>
      <w:r>
        <w:tab/>
      </w:r>
      <w:r w:rsidRPr="005B01FC">
        <w:rPr>
          <w:b/>
          <w:sz w:val="24"/>
        </w:rPr>
        <w:t>2.</w:t>
      </w:r>
      <w:r w:rsidR="00217D93" w:rsidRPr="005B01FC">
        <w:rPr>
          <w:b/>
          <w:sz w:val="24"/>
        </w:rPr>
        <w:t xml:space="preserve"> (10 Points)</w:t>
      </w:r>
      <w:r w:rsidR="00217D93">
        <w:tab/>
      </w:r>
      <w:r>
        <w:t xml:space="preserve"> </w:t>
      </w:r>
      <w:r>
        <w:rPr>
          <w:sz w:val="24"/>
        </w:rPr>
        <w:t>Mead Meals on Wheels has a contract</w:t>
      </w:r>
      <w:r w:rsidRPr="007C47C2">
        <w:rPr>
          <w:sz w:val="24"/>
        </w:rPr>
        <w:t xml:space="preserve"> with the city</w:t>
      </w:r>
      <w:r>
        <w:rPr>
          <w:sz w:val="24"/>
        </w:rPr>
        <w:t xml:space="preserve"> to feed homebound elderly people.</w:t>
      </w:r>
      <w:r w:rsidRPr="007C47C2">
        <w:rPr>
          <w:sz w:val="24"/>
        </w:rPr>
        <w:t xml:space="preserve"> </w:t>
      </w:r>
      <w:r>
        <w:rPr>
          <w:sz w:val="24"/>
        </w:rPr>
        <w:t xml:space="preserve"> Under the contract, MMW earns $140 per month for each person enrolled in the program.  MMW expects to deliver meals to the number of seniors shown below.  The city pays one-half of the amount MMW bills one month after the services are delivered, and one-half two months after billing. It costs MMW $125 for food and fuel for each person it feeds. Suppliers demand payment one month after food and fuel is used. This is MMW’s </w:t>
      </w:r>
      <w:r w:rsidRPr="002F326F">
        <w:rPr>
          <w:sz w:val="24"/>
          <w:u w:val="single"/>
        </w:rPr>
        <w:t>first</w:t>
      </w:r>
      <w:r>
        <w:rPr>
          <w:sz w:val="24"/>
        </w:rPr>
        <w:t xml:space="preserve"> year of operation. It started the year with $17,000 in cash.</w:t>
      </w:r>
    </w:p>
    <w:p w:rsidR="00BB366B" w:rsidRDefault="00BB366B" w:rsidP="00BB366B">
      <w:pPr>
        <w:tabs>
          <w:tab w:val="left" w:pos="0"/>
        </w:tabs>
        <w:spacing w:after="80"/>
        <w:ind w:left="360" w:hanging="1440"/>
        <w:rPr>
          <w:sz w:val="24"/>
        </w:rPr>
      </w:pPr>
    </w:p>
    <w:p w:rsidR="00BB366B" w:rsidRDefault="00BB366B" w:rsidP="00BB366B">
      <w:pPr>
        <w:numPr>
          <w:ilvl w:val="0"/>
          <w:numId w:val="2"/>
        </w:numPr>
        <w:tabs>
          <w:tab w:val="left" w:pos="0"/>
        </w:tabs>
        <w:spacing w:after="80"/>
        <w:rPr>
          <w:sz w:val="24"/>
        </w:rPr>
      </w:pPr>
      <w:r>
        <w:rPr>
          <w:sz w:val="24"/>
        </w:rPr>
        <w:t>What is MMW’s expected surplus or deficit for the first</w:t>
      </w:r>
      <w:r w:rsidRPr="0033460A">
        <w:rPr>
          <w:sz w:val="24"/>
        </w:rPr>
        <w:t xml:space="preserve"> </w:t>
      </w:r>
      <w:r w:rsidRPr="0033460A">
        <w:rPr>
          <w:sz w:val="24"/>
          <w:u w:val="single"/>
        </w:rPr>
        <w:t>quarter</w:t>
      </w:r>
      <w:r>
        <w:rPr>
          <w:sz w:val="24"/>
        </w:rPr>
        <w:t xml:space="preserve"> based solely on contract revenue, food and fuel expenses?  </w:t>
      </w:r>
    </w:p>
    <w:p w:rsidR="00BB366B" w:rsidRPr="00240536" w:rsidRDefault="00BB366B" w:rsidP="00BB366B">
      <w:pPr>
        <w:numPr>
          <w:ilvl w:val="0"/>
          <w:numId w:val="2"/>
        </w:numPr>
        <w:tabs>
          <w:tab w:val="left" w:pos="0"/>
        </w:tabs>
        <w:spacing w:after="80"/>
        <w:rPr>
          <w:sz w:val="24"/>
        </w:rPr>
      </w:pPr>
      <w:r>
        <w:rPr>
          <w:sz w:val="24"/>
        </w:rPr>
        <w:t>What does MMW’s expect its cash balance to be at the</w:t>
      </w:r>
      <w:r w:rsidRPr="0033460A">
        <w:rPr>
          <w:sz w:val="24"/>
        </w:rPr>
        <w:t xml:space="preserve"> </w:t>
      </w:r>
      <w:r w:rsidRPr="0033460A">
        <w:rPr>
          <w:sz w:val="24"/>
          <w:u w:val="single"/>
        </w:rPr>
        <w:t>end</w:t>
      </w:r>
      <w:r>
        <w:rPr>
          <w:sz w:val="24"/>
        </w:rPr>
        <w:t xml:space="preserve"> of the first quarter based solely on contract revenue, food and fuel expenses?</w:t>
      </w:r>
    </w:p>
    <w:p w:rsidR="00BB366B" w:rsidRDefault="00BB366B" w:rsidP="00BB366B">
      <w:pPr>
        <w:tabs>
          <w:tab w:val="left" w:pos="0"/>
        </w:tabs>
        <w:spacing w:after="80"/>
        <w:ind w:left="360" w:hanging="1440"/>
        <w:rPr>
          <w:sz w:val="24"/>
        </w:rPr>
      </w:pPr>
    </w:p>
    <w:p w:rsidR="00BB366B" w:rsidRPr="00737C25" w:rsidRDefault="00BB366B" w:rsidP="00BB366B">
      <w:pPr>
        <w:tabs>
          <w:tab w:val="left" w:pos="0"/>
        </w:tabs>
        <w:spacing w:after="80"/>
        <w:ind w:left="360" w:hanging="1440"/>
      </w:pPr>
      <w:r>
        <w:rPr>
          <w:sz w:val="24"/>
        </w:rPr>
        <w:tab/>
      </w:r>
      <w:r>
        <w:tab/>
      </w:r>
      <w:r>
        <w:tab/>
      </w:r>
      <w:r w:rsidR="005B01FC">
        <w:rPr>
          <w:noProof/>
        </w:rPr>
        <w:drawing>
          <wp:inline distT="0" distB="0" distL="0" distR="0">
            <wp:extent cx="5486400" cy="463138"/>
            <wp:effectExtent l="2540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486400" cy="463138"/>
                    </a:xfrm>
                    <a:prstGeom prst="rect">
                      <a:avLst/>
                    </a:prstGeom>
                    <a:noFill/>
                    <a:ln w="9525">
                      <a:noFill/>
                      <a:miter lim="800000"/>
                      <a:headEnd/>
                      <a:tailEnd/>
                    </a:ln>
                  </pic:spPr>
                </pic:pic>
              </a:graphicData>
            </a:graphic>
          </wp:inline>
        </w:drawing>
      </w:r>
    </w:p>
    <w:p w:rsidR="008D7F2A" w:rsidRDefault="008D7F2A"/>
    <w:p w:rsidR="00267CC4" w:rsidRDefault="00267CC4">
      <w:bookmarkStart w:id="0" w:name="_GoBack"/>
      <w:bookmarkEnd w:id="0"/>
    </w:p>
    <w:p w:rsidR="008D7F2A" w:rsidRDefault="0036095A" w:rsidP="008D7F2A">
      <w:pPr>
        <w:tabs>
          <w:tab w:val="left" w:pos="0"/>
          <w:tab w:val="right" w:pos="1170"/>
          <w:tab w:val="right" w:pos="3240"/>
          <w:tab w:val="right" w:pos="5400"/>
        </w:tabs>
        <w:spacing w:after="80"/>
        <w:ind w:left="360" w:hanging="1440"/>
        <w:rPr>
          <w:sz w:val="24"/>
        </w:rPr>
      </w:pPr>
      <w:r>
        <w:rPr>
          <w:sz w:val="24"/>
        </w:rPr>
        <w:lastRenderedPageBreak/>
        <w:tab/>
      </w:r>
      <w:r w:rsidRPr="009B33B3">
        <w:rPr>
          <w:b/>
          <w:sz w:val="24"/>
        </w:rPr>
        <w:t>3.</w:t>
      </w:r>
      <w:r w:rsidR="008D7F2A" w:rsidRPr="009B33B3">
        <w:rPr>
          <w:b/>
          <w:sz w:val="24"/>
        </w:rPr>
        <w:t xml:space="preserve">   </w:t>
      </w:r>
      <w:r w:rsidR="00217D93" w:rsidRPr="009B33B3">
        <w:rPr>
          <w:b/>
          <w:sz w:val="24"/>
        </w:rPr>
        <w:t>(10 Points</w:t>
      </w:r>
      <w:proofErr w:type="gramStart"/>
      <w:r w:rsidR="00217D93" w:rsidRPr="009B33B3">
        <w:rPr>
          <w:b/>
          <w:sz w:val="24"/>
        </w:rPr>
        <w:t>)</w:t>
      </w:r>
      <w:r w:rsidR="009B33B3">
        <w:rPr>
          <w:sz w:val="24"/>
        </w:rPr>
        <w:t xml:space="preserve">  </w:t>
      </w:r>
      <w:r w:rsidR="008D7F2A">
        <w:rPr>
          <w:sz w:val="24"/>
        </w:rPr>
        <w:t>The</w:t>
      </w:r>
      <w:proofErr w:type="gramEnd"/>
      <w:r w:rsidR="008D7F2A">
        <w:rPr>
          <w:sz w:val="24"/>
        </w:rPr>
        <w:t xml:space="preserve"> State University Research Foundation (SURF) expects to have the revenue and expenses shown in the operating budget below. The state research contract pays SURF two quarters after it is billed and the Foundation pays SURF one quarter after it is billed. Salaries are paid in the quarter the expense is incurred and supplies are paid for one quarter after they are used. Assuming SURF starts the 3</w:t>
      </w:r>
      <w:r w:rsidR="008D7F2A" w:rsidRPr="00750A90">
        <w:rPr>
          <w:sz w:val="24"/>
          <w:vertAlign w:val="superscript"/>
        </w:rPr>
        <w:t>rd</w:t>
      </w:r>
      <w:r w:rsidR="008D7F2A">
        <w:rPr>
          <w:sz w:val="24"/>
        </w:rPr>
        <w:t xml:space="preserve"> quarter with $</w:t>
      </w:r>
      <w:proofErr w:type="gramStart"/>
      <w:r w:rsidR="008D7F2A">
        <w:rPr>
          <w:sz w:val="24"/>
        </w:rPr>
        <w:t>500,</w:t>
      </w:r>
      <w:proofErr w:type="gramEnd"/>
      <w:r w:rsidR="008D7F2A">
        <w:rPr>
          <w:sz w:val="24"/>
        </w:rPr>
        <w:t xml:space="preserve"> prepare a </w:t>
      </w:r>
      <w:r w:rsidR="008D7F2A" w:rsidRPr="00750A90">
        <w:rPr>
          <w:sz w:val="24"/>
          <w:u w:val="single"/>
        </w:rPr>
        <w:t>properly-formatted</w:t>
      </w:r>
      <w:r w:rsidR="008D7F2A">
        <w:rPr>
          <w:sz w:val="24"/>
        </w:rPr>
        <w:t xml:space="preserve"> cash budget for the </w:t>
      </w:r>
      <w:r w:rsidR="008D7F2A" w:rsidRPr="002701C0">
        <w:rPr>
          <w:sz w:val="24"/>
          <w:u w:val="single"/>
        </w:rPr>
        <w:t>3</w:t>
      </w:r>
      <w:r w:rsidR="008D7F2A" w:rsidRPr="002701C0">
        <w:rPr>
          <w:sz w:val="24"/>
          <w:u w:val="single"/>
          <w:vertAlign w:val="superscript"/>
        </w:rPr>
        <w:t>rd</w:t>
      </w:r>
      <w:r w:rsidR="008D7F2A" w:rsidRPr="002701C0">
        <w:rPr>
          <w:sz w:val="24"/>
          <w:u w:val="single"/>
        </w:rPr>
        <w:t xml:space="preserve"> Quarter</w:t>
      </w:r>
      <w:r w:rsidR="008D7F2A">
        <w:rPr>
          <w:sz w:val="24"/>
        </w:rPr>
        <w:t xml:space="preserve"> of the year.</w:t>
      </w:r>
    </w:p>
    <w:p w:rsidR="008D7F2A" w:rsidRDefault="008D7F2A" w:rsidP="008D7F2A">
      <w:pPr>
        <w:tabs>
          <w:tab w:val="left" w:pos="0"/>
          <w:tab w:val="right" w:pos="1170"/>
          <w:tab w:val="right" w:pos="3240"/>
          <w:tab w:val="right" w:pos="5400"/>
        </w:tabs>
        <w:spacing w:after="80"/>
        <w:ind w:left="360" w:hanging="1440"/>
        <w:rPr>
          <w:sz w:val="24"/>
        </w:rPr>
      </w:pPr>
    </w:p>
    <w:p w:rsidR="008D7F2A" w:rsidRPr="00CF33DF" w:rsidRDefault="008D7F2A" w:rsidP="008D7F2A">
      <w:pPr>
        <w:tabs>
          <w:tab w:val="left" w:pos="0"/>
          <w:tab w:val="right" w:pos="1170"/>
          <w:tab w:val="right" w:pos="3240"/>
          <w:tab w:val="right" w:pos="5400"/>
        </w:tabs>
        <w:spacing w:after="80"/>
        <w:ind w:left="360" w:hanging="1440"/>
        <w:rPr>
          <w:sz w:val="24"/>
        </w:rPr>
      </w:pPr>
      <w:r>
        <w:rPr>
          <w:sz w:val="24"/>
        </w:rPr>
        <w:tab/>
      </w:r>
      <w:r>
        <w:rPr>
          <w:noProof/>
        </w:rPr>
        <w:drawing>
          <wp:inline distT="0" distB="0" distL="0" distR="0">
            <wp:extent cx="5633929" cy="2235200"/>
            <wp:effectExtent l="25400" t="0" r="4871"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633929" cy="2235200"/>
                    </a:xfrm>
                    <a:prstGeom prst="rect">
                      <a:avLst/>
                    </a:prstGeom>
                    <a:noFill/>
                    <a:ln w="9525">
                      <a:noFill/>
                      <a:miter lim="800000"/>
                      <a:headEnd/>
                      <a:tailEnd/>
                    </a:ln>
                  </pic:spPr>
                </pic:pic>
              </a:graphicData>
            </a:graphic>
          </wp:inline>
        </w:drawing>
      </w:r>
    </w:p>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p w:rsidR="0036095A" w:rsidRDefault="0036095A" w:rsidP="0036095A">
      <w:pPr>
        <w:tabs>
          <w:tab w:val="left" w:pos="-90"/>
          <w:tab w:val="left" w:pos="360"/>
        </w:tabs>
        <w:spacing w:after="80"/>
        <w:ind w:left="360" w:hanging="1800"/>
        <w:rPr>
          <w:sz w:val="24"/>
        </w:rPr>
      </w:pPr>
      <w:r>
        <w:rPr>
          <w:sz w:val="24"/>
        </w:rPr>
        <w:tab/>
      </w:r>
      <w:r>
        <w:rPr>
          <w:sz w:val="24"/>
        </w:rPr>
        <w:tab/>
      </w:r>
      <w:r w:rsidRPr="002B2C25">
        <w:rPr>
          <w:b/>
          <w:sz w:val="24"/>
        </w:rPr>
        <w:t>4.</w:t>
      </w:r>
      <w:r w:rsidR="00002987">
        <w:rPr>
          <w:b/>
          <w:sz w:val="24"/>
        </w:rPr>
        <w:t xml:space="preserve">  (20</w:t>
      </w:r>
      <w:r w:rsidR="00217D93" w:rsidRPr="002B2C25">
        <w:rPr>
          <w:b/>
          <w:sz w:val="24"/>
        </w:rPr>
        <w:t xml:space="preserve"> Points)</w:t>
      </w:r>
      <w:r w:rsidR="00217D93">
        <w:rPr>
          <w:sz w:val="24"/>
        </w:rPr>
        <w:t xml:space="preserve"> </w:t>
      </w:r>
      <w:r>
        <w:rPr>
          <w:sz w:val="24"/>
        </w:rPr>
        <w:t xml:space="preserve">The Teaching &amp; Learning Research Center at </w:t>
      </w:r>
      <w:proofErr w:type="spellStart"/>
      <w:r>
        <w:rPr>
          <w:sz w:val="24"/>
        </w:rPr>
        <w:t>UAlbany</w:t>
      </w:r>
      <w:proofErr w:type="spellEnd"/>
      <w:r>
        <w:rPr>
          <w:sz w:val="24"/>
        </w:rPr>
        <w:t xml:space="preserve"> needs to prepare a budget for a research proposal to do an in-depth study of Rensselaer County’s after-school programs.  The County is willing to pay $17,500 for each site studied, up to 15 sites.  A report must be submitted within a year of the start of the project.</w:t>
      </w:r>
    </w:p>
    <w:p w:rsidR="0036095A" w:rsidRDefault="0036095A" w:rsidP="0036095A">
      <w:pPr>
        <w:tabs>
          <w:tab w:val="left" w:pos="-90"/>
          <w:tab w:val="left" w:pos="360"/>
        </w:tabs>
        <w:spacing w:after="80"/>
        <w:ind w:left="360" w:hanging="1800"/>
        <w:rPr>
          <w:sz w:val="24"/>
        </w:rPr>
      </w:pPr>
    </w:p>
    <w:p w:rsidR="0036095A" w:rsidRDefault="0036095A" w:rsidP="0036095A">
      <w:pPr>
        <w:tabs>
          <w:tab w:val="left" w:pos="-90"/>
          <w:tab w:val="left" w:pos="360"/>
        </w:tabs>
        <w:spacing w:after="80"/>
        <w:ind w:left="360" w:hanging="1800"/>
        <w:rPr>
          <w:sz w:val="24"/>
        </w:rPr>
      </w:pPr>
      <w:r>
        <w:rPr>
          <w:sz w:val="24"/>
        </w:rPr>
        <w:tab/>
      </w:r>
      <w:r>
        <w:rPr>
          <w:sz w:val="24"/>
        </w:rPr>
        <w:tab/>
        <w:t>Regardless of the number of sites, the Center will need a primary researcher at $60,000 per year and 2 associate rese</w:t>
      </w:r>
      <w:r w:rsidR="00E37B64">
        <w:rPr>
          <w:sz w:val="24"/>
        </w:rPr>
        <w:t>archers at $35,000</w:t>
      </w:r>
      <w:r>
        <w:rPr>
          <w:sz w:val="24"/>
        </w:rPr>
        <w:t xml:space="preserve"> each per year to do the study.  Supervising the site studies is the responsibility of the associate researchers.  Each associate researcher will be able to supervise up to eight sites.  Research assistants are needed to transcribe field notes and provide support for the associate researchers.  These part-time research assistants are each paid $6,000 and are only able to support 3 site studies each.  The center must budget 30% of the salary of the primary and associate researchers for fringe benefits.</w:t>
      </w:r>
    </w:p>
    <w:p w:rsidR="0036095A" w:rsidRDefault="0036095A" w:rsidP="0036095A">
      <w:pPr>
        <w:tabs>
          <w:tab w:val="left" w:pos="-90"/>
          <w:tab w:val="left" w:pos="360"/>
        </w:tabs>
        <w:spacing w:after="80"/>
        <w:ind w:left="360" w:hanging="1800"/>
        <w:rPr>
          <w:sz w:val="24"/>
        </w:rPr>
      </w:pPr>
    </w:p>
    <w:p w:rsidR="0036095A" w:rsidRDefault="0036095A" w:rsidP="0036095A">
      <w:pPr>
        <w:tabs>
          <w:tab w:val="left" w:pos="-90"/>
          <w:tab w:val="left" w:pos="360"/>
        </w:tabs>
        <w:spacing w:after="80"/>
        <w:ind w:left="360" w:hanging="1800"/>
        <w:rPr>
          <w:sz w:val="24"/>
        </w:rPr>
      </w:pPr>
      <w:r>
        <w:rPr>
          <w:sz w:val="24"/>
        </w:rPr>
        <w:tab/>
      </w:r>
      <w:r>
        <w:rPr>
          <w:sz w:val="24"/>
        </w:rPr>
        <w:tab/>
        <w:t>Based on past experience, the Center estimates that it will need $2,500 for supplies. Researchers will have to travel to each research site.  Each trip will cost $20 and the center expects that 40 trips will be made to each site during the study.</w:t>
      </w:r>
    </w:p>
    <w:p w:rsidR="0036095A" w:rsidRDefault="0036095A" w:rsidP="0036095A">
      <w:pPr>
        <w:tabs>
          <w:tab w:val="left" w:pos="-90"/>
          <w:tab w:val="left" w:pos="360"/>
        </w:tabs>
        <w:spacing w:after="80"/>
        <w:ind w:left="360" w:hanging="1800"/>
        <w:rPr>
          <w:sz w:val="24"/>
        </w:rPr>
      </w:pPr>
    </w:p>
    <w:p w:rsidR="0036095A" w:rsidRDefault="00A6049B" w:rsidP="0036095A">
      <w:pPr>
        <w:tabs>
          <w:tab w:val="left" w:pos="-90"/>
          <w:tab w:val="left" w:pos="360"/>
        </w:tabs>
        <w:spacing w:after="80"/>
        <w:ind w:left="360" w:hanging="1800"/>
        <w:rPr>
          <w:sz w:val="24"/>
        </w:rPr>
      </w:pPr>
      <w:r>
        <w:rPr>
          <w:sz w:val="24"/>
        </w:rPr>
        <w:tab/>
      </w:r>
      <w:r>
        <w:rPr>
          <w:sz w:val="24"/>
        </w:rPr>
        <w:tab/>
        <w:t xml:space="preserve">Prepare a </w:t>
      </w:r>
      <w:r w:rsidR="0036095A">
        <w:rPr>
          <w:sz w:val="24"/>
        </w:rPr>
        <w:t>budget of revenues and expenses for a study that includes 9 sites, 12 sites, and 15 sites.</w:t>
      </w:r>
    </w:p>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D526F3" w:rsidRDefault="00D526F3"/>
    <w:p w:rsidR="00423FFA" w:rsidRDefault="00423FFA" w:rsidP="00423FFA">
      <w:pPr>
        <w:rPr>
          <w:b/>
        </w:rPr>
      </w:pPr>
      <w:r>
        <w:rPr>
          <w:b/>
        </w:rPr>
        <w:t>Part 2. Financial Statement Analysis (50 points)</w:t>
      </w:r>
    </w:p>
    <w:p w:rsidR="00423FFA" w:rsidRDefault="00423FFA" w:rsidP="00423FFA">
      <w:pPr>
        <w:rPr>
          <w:b/>
        </w:rPr>
      </w:pPr>
    </w:p>
    <w:p w:rsidR="00423FFA" w:rsidRDefault="00423FFA" w:rsidP="00423FFA">
      <w:pPr>
        <w:rPr>
          <w:b/>
        </w:rPr>
      </w:pPr>
      <w:r>
        <w:rPr>
          <w:b/>
        </w:rPr>
        <w:t xml:space="preserve">Questions 1 to 12 refer to the 2010 annual report of WAMC – a region public radio station.  </w:t>
      </w:r>
    </w:p>
    <w:p w:rsidR="00423FFA" w:rsidRPr="00021666" w:rsidRDefault="00423FFA" w:rsidP="00423FFA"/>
    <w:p w:rsidR="00423FFA" w:rsidRDefault="00423FFA" w:rsidP="00423FFA">
      <w:pPr>
        <w:numPr>
          <w:ilvl w:val="0"/>
          <w:numId w:val="6"/>
        </w:numPr>
      </w:pPr>
      <w:r w:rsidRPr="0007087C">
        <w:rPr>
          <w:b/>
          <w:u w:val="single"/>
        </w:rPr>
        <w:t>1 point</w:t>
      </w:r>
      <w:r>
        <w:t xml:space="preserve">. Did the auditors issue a qualified, unqualified or adverse opinion of WAMC’s financial position? </w:t>
      </w:r>
    </w:p>
    <w:p w:rsidR="00423FFA" w:rsidRDefault="00423FFA" w:rsidP="00423FFA"/>
    <w:p w:rsidR="00423FFA" w:rsidRDefault="00423FFA" w:rsidP="00423FFA">
      <w:pPr>
        <w:pStyle w:val="ListParagraph"/>
        <w:numPr>
          <w:ilvl w:val="0"/>
          <w:numId w:val="6"/>
        </w:numPr>
      </w:pPr>
      <w:r w:rsidRPr="00076EB2">
        <w:rPr>
          <w:b/>
          <w:u w:val="single"/>
        </w:rPr>
        <w:t>2 point</w:t>
      </w:r>
      <w:r>
        <w:t xml:space="preserve">. Does WAMC comply with Generally Accepted Accounting Principles in its treatment of bad debts? </w:t>
      </w:r>
    </w:p>
    <w:p w:rsidR="0051121D" w:rsidRDefault="0051121D" w:rsidP="0051121D">
      <w:pPr>
        <w:pStyle w:val="ListParagraph"/>
        <w:ind w:left="1170"/>
      </w:pPr>
    </w:p>
    <w:p w:rsidR="0051121D" w:rsidRDefault="00423FFA" w:rsidP="00423FFA">
      <w:pPr>
        <w:numPr>
          <w:ilvl w:val="0"/>
          <w:numId w:val="6"/>
        </w:numPr>
      </w:pPr>
      <w:r w:rsidRPr="0051121D">
        <w:rPr>
          <w:b/>
          <w:u w:val="single"/>
        </w:rPr>
        <w:t>4 points</w:t>
      </w:r>
      <w:r>
        <w:t xml:space="preserve">. Was WAMC a </w:t>
      </w:r>
      <w:r w:rsidRPr="0051121D">
        <w:rPr>
          <w:u w:val="single"/>
        </w:rPr>
        <w:t>net</w:t>
      </w:r>
      <w:r>
        <w:t xml:space="preserve"> buyer or seller of investments (other than property and equipment) in fiscal years 2009 and 2010? </w:t>
      </w:r>
    </w:p>
    <w:p w:rsidR="0051121D" w:rsidRDefault="0051121D" w:rsidP="0051121D">
      <w:pPr>
        <w:ind w:left="1170"/>
      </w:pPr>
    </w:p>
    <w:p w:rsidR="00423FFA" w:rsidRDefault="00423FFA" w:rsidP="00423FFA">
      <w:pPr>
        <w:numPr>
          <w:ilvl w:val="0"/>
          <w:numId w:val="6"/>
        </w:numPr>
      </w:pPr>
      <w:r w:rsidRPr="0051121D">
        <w:rPr>
          <w:b/>
          <w:u w:val="single"/>
        </w:rPr>
        <w:t>6 points</w:t>
      </w:r>
      <w:r>
        <w:t xml:space="preserve">. What were WAMC Current ratios for fiscal years 2009 and 2010? </w:t>
      </w:r>
    </w:p>
    <w:p w:rsidR="00423FFA" w:rsidRDefault="00423FFA" w:rsidP="00423FFA">
      <w:pPr>
        <w:ind w:left="1440"/>
      </w:pPr>
      <w:r>
        <w:t>Current ratio = current assets / current liabilities</w:t>
      </w:r>
    </w:p>
    <w:p w:rsidR="0051121D" w:rsidRDefault="0051121D" w:rsidP="00423FFA">
      <w:pPr>
        <w:ind w:left="1440"/>
      </w:pPr>
    </w:p>
    <w:p w:rsidR="00423FFA" w:rsidRDefault="00423FFA" w:rsidP="00423FFA">
      <w:pPr>
        <w:numPr>
          <w:ilvl w:val="0"/>
          <w:numId w:val="6"/>
        </w:numPr>
      </w:pPr>
      <w:r>
        <w:rPr>
          <w:b/>
          <w:u w:val="single"/>
        </w:rPr>
        <w:t>8</w:t>
      </w:r>
      <w:r w:rsidRPr="00BA4A29">
        <w:rPr>
          <w:b/>
          <w:u w:val="single"/>
        </w:rPr>
        <w:t xml:space="preserve"> points</w:t>
      </w:r>
      <w:r>
        <w:t xml:space="preserve">. What were WAMC’s total debt-to-net-assets ratios for fiscal years 2009 and 2010?  Be sure to exclude all non-debt liabilities from your calculations. </w:t>
      </w:r>
      <w:r w:rsidR="0051121D">
        <w:t>Check the balance sheet</w:t>
      </w:r>
    </w:p>
    <w:p w:rsidR="00423FFA" w:rsidRDefault="00423FFA" w:rsidP="00423FFA">
      <w:pPr>
        <w:ind w:left="1440" w:firstLine="720"/>
      </w:pPr>
      <w:r>
        <w:t>Debt to Net Assets = total debt / total net assets</w:t>
      </w:r>
    </w:p>
    <w:p w:rsidR="00423FFA" w:rsidRDefault="00423FFA" w:rsidP="00423FFA">
      <w:pPr>
        <w:pStyle w:val="ListParagraph"/>
        <w:ind w:left="1170" w:hanging="450"/>
      </w:pPr>
    </w:p>
    <w:p w:rsidR="00423FFA" w:rsidRDefault="00423FFA" w:rsidP="00423FFA">
      <w:pPr>
        <w:pStyle w:val="ListParagraph"/>
        <w:numPr>
          <w:ilvl w:val="0"/>
          <w:numId w:val="6"/>
        </w:numPr>
      </w:pPr>
      <w:r w:rsidRPr="00BA4A29">
        <w:rPr>
          <w:b/>
          <w:u w:val="single"/>
        </w:rPr>
        <w:t>5 points</w:t>
      </w:r>
      <w:r>
        <w:t xml:space="preserve">. What was the largest single source of revenue and support for WAMC during fiscal years 2009 and 2010? What percent of WAMC’s total revenue and support did that source represent in each fiscal year? What was the percentage increase or decrease in that source between the two fiscal years? </w:t>
      </w:r>
      <w:r w:rsidR="0051121D">
        <w:t>REMEMBER THE FORMULA TO GET % CHANGE IS (NEW-OLD)/OLD</w:t>
      </w:r>
    </w:p>
    <w:p w:rsidR="00423FFA" w:rsidRDefault="00423FFA" w:rsidP="00423FFA"/>
    <w:p w:rsidR="00423FFA" w:rsidRDefault="00423FFA" w:rsidP="00423FFA"/>
    <w:p w:rsidR="00423FFA" w:rsidRDefault="00423FFA" w:rsidP="00423FFA">
      <w:pPr>
        <w:numPr>
          <w:ilvl w:val="0"/>
          <w:numId w:val="6"/>
        </w:numPr>
      </w:pPr>
      <w:r w:rsidRPr="0051121D">
        <w:rPr>
          <w:b/>
          <w:u w:val="single"/>
        </w:rPr>
        <w:t>6 points</w:t>
      </w:r>
      <w:r>
        <w:t xml:space="preserve">. How much did WAMC’s total change in net assets increase or decrease between fiscal years 2009 and 2010? What were their operating margins in each of those fiscal years? </w:t>
      </w:r>
    </w:p>
    <w:p w:rsidR="0051121D" w:rsidRDefault="0051121D" w:rsidP="0051121D">
      <w:pPr>
        <w:ind w:left="1170"/>
      </w:pPr>
    </w:p>
    <w:p w:rsidR="00423FFA" w:rsidRDefault="00423FFA" w:rsidP="00423FFA">
      <w:pPr>
        <w:ind w:left="1440"/>
      </w:pPr>
      <w:r>
        <w:t>Operating margin =    total increase in unrestricted net assets</w:t>
      </w:r>
    </w:p>
    <w:p w:rsidR="00423FFA" w:rsidRDefault="00423FFA" w:rsidP="00423FFA">
      <w:pPr>
        <w:ind w:left="1440"/>
      </w:pPr>
      <w:r>
        <w:tab/>
      </w:r>
      <w:r>
        <w:tab/>
        <w:t xml:space="preserve">         --------------------------------------------------</w:t>
      </w:r>
    </w:p>
    <w:p w:rsidR="00423FFA" w:rsidRDefault="00423FFA" w:rsidP="00423FFA">
      <w:pPr>
        <w:ind w:left="1440"/>
      </w:pPr>
      <w:r>
        <w:tab/>
      </w:r>
      <w:r>
        <w:tab/>
        <w:t xml:space="preserve">            Total unrestricted revenue and support</w:t>
      </w:r>
    </w:p>
    <w:p w:rsidR="00423FFA" w:rsidRDefault="00423FFA" w:rsidP="00423FFA"/>
    <w:p w:rsidR="00423FFA" w:rsidRDefault="00423FFA" w:rsidP="00423FFA">
      <w:pPr>
        <w:numPr>
          <w:ilvl w:val="0"/>
          <w:numId w:val="6"/>
        </w:numPr>
      </w:pPr>
      <w:r w:rsidRPr="00BA4A29">
        <w:rPr>
          <w:b/>
          <w:u w:val="single"/>
        </w:rPr>
        <w:t>5 points</w:t>
      </w:r>
      <w:r>
        <w:t xml:space="preserve">. How much did “other support and revenue” increase between fiscal years 2009 and 2010? </w:t>
      </w:r>
      <w:r w:rsidR="0051121D">
        <w:t>REMEMBER THE FORMULA TO GET % CHANGE IS (NEW-OLD)/OLD</w:t>
      </w:r>
    </w:p>
    <w:p w:rsidR="00423FFA" w:rsidRDefault="00423FFA" w:rsidP="00423FFA">
      <w:pPr>
        <w:ind w:left="720"/>
      </w:pPr>
    </w:p>
    <w:p w:rsidR="00E808A1" w:rsidRDefault="00423FFA" w:rsidP="00423FFA">
      <w:pPr>
        <w:numPr>
          <w:ilvl w:val="0"/>
          <w:numId w:val="6"/>
        </w:numPr>
      </w:pPr>
      <w:r w:rsidRPr="0051121D">
        <w:rPr>
          <w:b/>
          <w:u w:val="single"/>
        </w:rPr>
        <w:t>3 point</w:t>
      </w:r>
      <w:r>
        <w:t xml:space="preserve">. What was WAMC’s program expense ratio for fiscal year 2010?  Support you answer with all appropriate numbers. </w:t>
      </w:r>
    </w:p>
    <w:p w:rsidR="00423FFA" w:rsidRDefault="00423FFA" w:rsidP="00E808A1">
      <w:pPr>
        <w:ind w:left="1170"/>
      </w:pPr>
      <w:r>
        <w:t xml:space="preserve"> </w:t>
      </w:r>
      <w:r w:rsidR="00E808A1">
        <w:t>Program expense ratio = program expenses / total expenses</w:t>
      </w:r>
    </w:p>
    <w:p w:rsidR="0051121D" w:rsidRDefault="0051121D" w:rsidP="0051121D">
      <w:pPr>
        <w:ind w:left="1170"/>
      </w:pPr>
    </w:p>
    <w:p w:rsidR="00423FFA" w:rsidRDefault="00E808A1" w:rsidP="00423FFA">
      <w:pPr>
        <w:numPr>
          <w:ilvl w:val="0"/>
          <w:numId w:val="6"/>
        </w:numPr>
      </w:pPr>
      <w:r>
        <w:rPr>
          <w:b/>
          <w:u w:val="single"/>
        </w:rPr>
        <w:t>3</w:t>
      </w:r>
      <w:r w:rsidR="00423FFA" w:rsidRPr="001E61DA">
        <w:rPr>
          <w:b/>
          <w:u w:val="single"/>
        </w:rPr>
        <w:t>points</w:t>
      </w:r>
      <w:r w:rsidR="00423FFA">
        <w:t xml:space="preserve">. </w:t>
      </w:r>
      <w:proofErr w:type="gramStart"/>
      <w:r w:rsidR="00423FFA">
        <w:t>How</w:t>
      </w:r>
      <w:proofErr w:type="gramEnd"/>
      <w:r w:rsidR="00423FFA">
        <w:t xml:space="preserve"> much did WAMC’s “First Amendment Fund” balance increase or decrease between June 30 2009 and June 30, 2010? </w:t>
      </w:r>
      <w:r w:rsidR="0051121D">
        <w:t>REMEMBER THE FORMULA TO GET % CHANGE IS (NEW-OLD)/OLD</w:t>
      </w:r>
      <w:r w:rsidR="00423FFA">
        <w:t xml:space="preserve"> </w:t>
      </w:r>
    </w:p>
    <w:p w:rsidR="00423FFA" w:rsidRDefault="00423FFA" w:rsidP="00423FFA">
      <w:pPr>
        <w:rPr>
          <w:b/>
          <w:u w:val="single"/>
        </w:rPr>
      </w:pPr>
    </w:p>
    <w:p w:rsidR="00423FFA" w:rsidRDefault="00423FFA" w:rsidP="00423FFA">
      <w:pPr>
        <w:numPr>
          <w:ilvl w:val="0"/>
          <w:numId w:val="6"/>
        </w:numPr>
      </w:pPr>
      <w:r w:rsidRPr="00BA4A29">
        <w:rPr>
          <w:b/>
          <w:u w:val="single"/>
        </w:rPr>
        <w:t>5 points</w:t>
      </w:r>
      <w:r>
        <w:t xml:space="preserve">. What were WAMC’s times-interest-earned ratios for fiscal years 2009 and 2010? </w:t>
      </w:r>
    </w:p>
    <w:p w:rsidR="00423FFA" w:rsidRDefault="00423FFA" w:rsidP="00423FFA"/>
    <w:p w:rsidR="00423FFA" w:rsidRDefault="00423FFA" w:rsidP="00423FFA">
      <w:pPr>
        <w:ind w:left="810" w:firstLine="720"/>
      </w:pPr>
      <w:r>
        <w:t xml:space="preserve">Times Interest Earned = (change in net assets + interest expense) </w:t>
      </w:r>
    </w:p>
    <w:p w:rsidR="00423FFA" w:rsidRDefault="00423FFA" w:rsidP="00423FFA">
      <w:pPr>
        <w:ind w:left="810" w:firstLine="720"/>
      </w:pPr>
      <w:r>
        <w:tab/>
      </w:r>
      <w:r>
        <w:tab/>
      </w:r>
      <w:r>
        <w:tab/>
        <w:t xml:space="preserve">     ------------------------------------------------</w:t>
      </w:r>
    </w:p>
    <w:p w:rsidR="00423FFA" w:rsidRDefault="00423FFA" w:rsidP="00423FFA">
      <w:pPr>
        <w:ind w:left="810" w:firstLine="720"/>
      </w:pPr>
      <w:r>
        <w:t xml:space="preserve"> </w:t>
      </w:r>
      <w:r>
        <w:tab/>
      </w:r>
      <w:r>
        <w:tab/>
      </w:r>
      <w:r>
        <w:tab/>
      </w:r>
      <w:r>
        <w:tab/>
      </w:r>
      <w:r>
        <w:tab/>
      </w:r>
      <w:proofErr w:type="gramStart"/>
      <w:r>
        <w:t>interest</w:t>
      </w:r>
      <w:proofErr w:type="gramEnd"/>
      <w:r>
        <w:t xml:space="preserve"> expense</w:t>
      </w:r>
    </w:p>
    <w:p w:rsidR="00423FFA" w:rsidRDefault="00423FFA" w:rsidP="00423FFA">
      <w:pPr>
        <w:ind w:left="810" w:firstLine="720"/>
      </w:pPr>
    </w:p>
    <w:p w:rsidR="00423FFA" w:rsidRDefault="00423FFA" w:rsidP="00423FFA">
      <w:pPr>
        <w:numPr>
          <w:ilvl w:val="0"/>
          <w:numId w:val="6"/>
        </w:numPr>
      </w:pPr>
      <w:r w:rsidRPr="001E61DA">
        <w:rPr>
          <w:b/>
          <w:u w:val="single"/>
        </w:rPr>
        <w:t>2 points</w:t>
      </w:r>
      <w:r>
        <w:t xml:space="preserve">. What method of depreciation does WAMC use? What were its depreciation expenses for fiscal years 2009 and 2010? </w:t>
      </w:r>
    </w:p>
    <w:p w:rsidR="00423FFA" w:rsidRDefault="00423FFA" w:rsidP="00423FFA">
      <w:pPr>
        <w:ind w:left="1170"/>
      </w:pPr>
    </w:p>
    <w:p w:rsidR="00911660" w:rsidRPr="00F31626" w:rsidRDefault="00911660" w:rsidP="00A6049B">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24F64" w:rsidRDefault="00924F64" w:rsidP="00924F64">
      <w:pPr>
        <w:autoSpaceDE w:val="0"/>
        <w:autoSpaceDN w:val="0"/>
        <w:adjustRightInd w:val="0"/>
      </w:pPr>
    </w:p>
    <w:p w:rsidR="00945A5D" w:rsidRDefault="00945A5D" w:rsidP="007631F6">
      <w:pPr>
        <w:autoSpaceDE w:val="0"/>
        <w:autoSpaceDN w:val="0"/>
        <w:adjustRightInd w:val="0"/>
        <w:rPr>
          <w:sz w:val="24"/>
        </w:rPr>
      </w:pPr>
    </w:p>
    <w:p w:rsidR="00945A5D" w:rsidRDefault="00945A5D" w:rsidP="007631F6">
      <w:pPr>
        <w:autoSpaceDE w:val="0"/>
        <w:autoSpaceDN w:val="0"/>
        <w:adjustRightInd w:val="0"/>
        <w:rPr>
          <w:sz w:val="24"/>
        </w:rPr>
      </w:pPr>
    </w:p>
    <w:p w:rsidR="00D526F3" w:rsidRPr="00824B68" w:rsidRDefault="00D526F3">
      <w:pPr>
        <w:rPr>
          <w:sz w:val="24"/>
        </w:rPr>
      </w:pPr>
    </w:p>
    <w:sectPr w:rsidR="00D526F3" w:rsidRPr="00824B68" w:rsidSect="00D526F3">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226" w:rsidRDefault="00330226">
      <w:r>
        <w:separator/>
      </w:r>
    </w:p>
  </w:endnote>
  <w:endnote w:type="continuationSeparator" w:id="0">
    <w:p w:rsidR="00330226" w:rsidRDefault="0033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3F" w:rsidRDefault="0063103F">
    <w:pPr>
      <w:pStyle w:val="Footer"/>
    </w:pPr>
  </w:p>
  <w:p w:rsidR="0063103F" w:rsidRDefault="0063103F">
    <w:pPr>
      <w:pStyle w:val="Footer"/>
    </w:pPr>
  </w:p>
  <w:p w:rsidR="0063103F" w:rsidRDefault="0063103F">
    <w:pPr>
      <w:pStyle w:val="Footer"/>
    </w:pPr>
  </w:p>
  <w:p w:rsidR="0063103F" w:rsidRDefault="0063103F">
    <w:pPr>
      <w:pStyle w:val="Footer"/>
    </w:pPr>
  </w:p>
  <w:p w:rsidR="0063103F" w:rsidRDefault="00631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226" w:rsidRDefault="00330226">
      <w:r>
        <w:separator/>
      </w:r>
    </w:p>
  </w:footnote>
  <w:footnote w:type="continuationSeparator" w:id="0">
    <w:p w:rsidR="00330226" w:rsidRDefault="00330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65F"/>
    <w:multiLevelType w:val="hybridMultilevel"/>
    <w:tmpl w:val="362A461C"/>
    <w:lvl w:ilvl="0" w:tplc="CCD830D8">
      <w:start w:val="6"/>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326A3"/>
    <w:multiLevelType w:val="hybridMultilevel"/>
    <w:tmpl w:val="64489922"/>
    <w:lvl w:ilvl="0" w:tplc="C6DC7A98">
      <w:start w:val="1"/>
      <w:numFmt w:val="decimal"/>
      <w:lvlText w:val="%1."/>
      <w:lvlJc w:val="left"/>
      <w:pPr>
        <w:tabs>
          <w:tab w:val="num" w:pos="1170"/>
        </w:tabs>
        <w:ind w:left="1170" w:hanging="360"/>
      </w:pPr>
      <w:rPr>
        <w:rFonts w:hint="default"/>
      </w:rPr>
    </w:lvl>
    <w:lvl w:ilvl="1" w:tplc="04090019">
      <w:start w:val="1"/>
      <w:numFmt w:val="lowerLetter"/>
      <w:lvlText w:val="%2."/>
      <w:lvlJc w:val="left"/>
      <w:pPr>
        <w:tabs>
          <w:tab w:val="num" w:pos="1440"/>
        </w:tabs>
        <w:ind w:left="1440" w:hanging="360"/>
      </w:pPr>
    </w:lvl>
    <w:lvl w:ilvl="2" w:tplc="7F9E2FAC">
      <w:start w:val="2005"/>
      <w:numFmt w:val="decimal"/>
      <w:lvlText w:val="%3"/>
      <w:lvlJc w:val="left"/>
      <w:pPr>
        <w:tabs>
          <w:tab w:val="num" w:pos="4140"/>
        </w:tabs>
        <w:ind w:left="4140" w:hanging="21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3A26ED"/>
    <w:multiLevelType w:val="hybridMultilevel"/>
    <w:tmpl w:val="774E73A8"/>
    <w:lvl w:ilvl="0" w:tplc="2D3CD2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EE4E8B"/>
    <w:multiLevelType w:val="hybridMultilevel"/>
    <w:tmpl w:val="D8B64600"/>
    <w:lvl w:ilvl="0" w:tplc="FFFFFFFF">
      <w:start w:val="1"/>
      <w:numFmt w:val="decimal"/>
      <w:lvlText w:val="%1."/>
      <w:lvlJc w:val="left"/>
      <w:pPr>
        <w:tabs>
          <w:tab w:val="num" w:pos="720"/>
        </w:tabs>
        <w:ind w:left="720" w:hanging="360"/>
      </w:pPr>
      <w:rPr>
        <w:i w:val="0"/>
      </w:rPr>
    </w:lvl>
    <w:lvl w:ilvl="1" w:tplc="C9C88246">
      <w:start w:val="1"/>
      <w:numFmt w:val="lowerLetter"/>
      <w:lvlText w:val="%2."/>
      <w:lvlJc w:val="left"/>
      <w:pPr>
        <w:tabs>
          <w:tab w:val="num" w:pos="1440"/>
        </w:tabs>
        <w:ind w:left="1440" w:hanging="360"/>
      </w:pPr>
      <w:rPr>
        <w:rFonts w:hint="default"/>
        <w:i w:val="0"/>
      </w:rPr>
    </w:lvl>
    <w:lvl w:ilvl="2" w:tplc="FFFFFFFF">
      <w:start w:val="1"/>
      <w:numFmt w:val="decimal"/>
      <w:lvlText w:val="%3."/>
      <w:lvlJc w:val="left"/>
      <w:pPr>
        <w:tabs>
          <w:tab w:val="num" w:pos="2340"/>
        </w:tabs>
        <w:ind w:left="2340" w:hanging="360"/>
      </w:pPr>
    </w:lvl>
    <w:lvl w:ilvl="3" w:tplc="FFFFFFFF">
      <w:start w:val="2003"/>
      <w:numFmt w:val="decimal"/>
      <w:lvlText w:val="%4"/>
      <w:lvlJc w:val="left"/>
      <w:pPr>
        <w:tabs>
          <w:tab w:val="num" w:pos="3960"/>
        </w:tabs>
        <w:ind w:left="3960" w:hanging="144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8554E74"/>
    <w:multiLevelType w:val="hybridMultilevel"/>
    <w:tmpl w:val="774E73A8"/>
    <w:lvl w:ilvl="0" w:tplc="2D3CD2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9D1A30"/>
    <w:multiLevelType w:val="hybridMultilevel"/>
    <w:tmpl w:val="CD049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6B"/>
    <w:rsid w:val="00002987"/>
    <w:rsid w:val="001747BE"/>
    <w:rsid w:val="00217D93"/>
    <w:rsid w:val="00267CC4"/>
    <w:rsid w:val="002B2C25"/>
    <w:rsid w:val="00330226"/>
    <w:rsid w:val="003513A1"/>
    <w:rsid w:val="0036095A"/>
    <w:rsid w:val="00366A41"/>
    <w:rsid w:val="003822BE"/>
    <w:rsid w:val="00423FFA"/>
    <w:rsid w:val="004611DF"/>
    <w:rsid w:val="00463B9D"/>
    <w:rsid w:val="0051121D"/>
    <w:rsid w:val="005134E3"/>
    <w:rsid w:val="005655FA"/>
    <w:rsid w:val="00571189"/>
    <w:rsid w:val="005B01FC"/>
    <w:rsid w:val="005E4D7F"/>
    <w:rsid w:val="0063103F"/>
    <w:rsid w:val="00653AFA"/>
    <w:rsid w:val="006D362B"/>
    <w:rsid w:val="007005E1"/>
    <w:rsid w:val="0073669A"/>
    <w:rsid w:val="007373EC"/>
    <w:rsid w:val="007631F6"/>
    <w:rsid w:val="00824B68"/>
    <w:rsid w:val="008D7F2A"/>
    <w:rsid w:val="00911660"/>
    <w:rsid w:val="009148C6"/>
    <w:rsid w:val="00924F64"/>
    <w:rsid w:val="00945A5D"/>
    <w:rsid w:val="009A533B"/>
    <w:rsid w:val="009B33B3"/>
    <w:rsid w:val="00A14C37"/>
    <w:rsid w:val="00A6049B"/>
    <w:rsid w:val="00A94FA1"/>
    <w:rsid w:val="00B16B0B"/>
    <w:rsid w:val="00B3495E"/>
    <w:rsid w:val="00BB366B"/>
    <w:rsid w:val="00CC3333"/>
    <w:rsid w:val="00D04B06"/>
    <w:rsid w:val="00D526F3"/>
    <w:rsid w:val="00D9393C"/>
    <w:rsid w:val="00DF7350"/>
    <w:rsid w:val="00E37B64"/>
    <w:rsid w:val="00E808A1"/>
    <w:rsid w:val="00ED4F8E"/>
    <w:rsid w:val="00FE3B81"/>
    <w:rsid w:val="00FF21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B366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095A"/>
    <w:pPr>
      <w:tabs>
        <w:tab w:val="center" w:pos="4320"/>
        <w:tab w:val="right" w:pos="8640"/>
      </w:tabs>
    </w:pPr>
  </w:style>
  <w:style w:type="character" w:customStyle="1" w:styleId="HeaderChar">
    <w:name w:val="Header Char"/>
    <w:basedOn w:val="DefaultParagraphFont"/>
    <w:link w:val="Header"/>
    <w:uiPriority w:val="99"/>
    <w:semiHidden/>
    <w:rsid w:val="0036095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36095A"/>
    <w:pPr>
      <w:tabs>
        <w:tab w:val="center" w:pos="4320"/>
        <w:tab w:val="right" w:pos="8640"/>
      </w:tabs>
    </w:pPr>
  </w:style>
  <w:style w:type="character" w:customStyle="1" w:styleId="FooterChar">
    <w:name w:val="Footer Char"/>
    <w:basedOn w:val="DefaultParagraphFont"/>
    <w:link w:val="Footer"/>
    <w:uiPriority w:val="99"/>
    <w:semiHidden/>
    <w:rsid w:val="0036095A"/>
    <w:rPr>
      <w:rFonts w:ascii="Times New Roman" w:eastAsia="Times New Roman" w:hAnsi="Times New Roman" w:cs="Times New Roman"/>
      <w:sz w:val="20"/>
      <w:szCs w:val="20"/>
    </w:rPr>
  </w:style>
  <w:style w:type="paragraph" w:styleId="ListParagraph">
    <w:name w:val="List Paragraph"/>
    <w:basedOn w:val="Normal"/>
    <w:uiPriority w:val="34"/>
    <w:qFormat/>
    <w:rsid w:val="00924F64"/>
    <w:pPr>
      <w:ind w:left="720"/>
      <w:contextualSpacing/>
    </w:pPr>
  </w:style>
  <w:style w:type="table" w:styleId="TableGrid">
    <w:name w:val="Table Grid"/>
    <w:basedOn w:val="TableNormal"/>
    <w:rsid w:val="005B01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E3B81"/>
    <w:rPr>
      <w:rFonts w:ascii="Tahoma" w:hAnsi="Tahoma" w:cs="Tahoma"/>
      <w:sz w:val="16"/>
      <w:szCs w:val="16"/>
    </w:rPr>
  </w:style>
  <w:style w:type="character" w:customStyle="1" w:styleId="BalloonTextChar">
    <w:name w:val="Balloon Text Char"/>
    <w:basedOn w:val="DefaultParagraphFont"/>
    <w:link w:val="BalloonText"/>
    <w:rsid w:val="00FE3B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BB366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095A"/>
    <w:pPr>
      <w:tabs>
        <w:tab w:val="center" w:pos="4320"/>
        <w:tab w:val="right" w:pos="8640"/>
      </w:tabs>
    </w:pPr>
  </w:style>
  <w:style w:type="character" w:customStyle="1" w:styleId="HeaderChar">
    <w:name w:val="Header Char"/>
    <w:basedOn w:val="DefaultParagraphFont"/>
    <w:link w:val="Header"/>
    <w:uiPriority w:val="99"/>
    <w:semiHidden/>
    <w:rsid w:val="0036095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36095A"/>
    <w:pPr>
      <w:tabs>
        <w:tab w:val="center" w:pos="4320"/>
        <w:tab w:val="right" w:pos="8640"/>
      </w:tabs>
    </w:pPr>
  </w:style>
  <w:style w:type="character" w:customStyle="1" w:styleId="FooterChar">
    <w:name w:val="Footer Char"/>
    <w:basedOn w:val="DefaultParagraphFont"/>
    <w:link w:val="Footer"/>
    <w:uiPriority w:val="99"/>
    <w:semiHidden/>
    <w:rsid w:val="0036095A"/>
    <w:rPr>
      <w:rFonts w:ascii="Times New Roman" w:eastAsia="Times New Roman" w:hAnsi="Times New Roman" w:cs="Times New Roman"/>
      <w:sz w:val="20"/>
      <w:szCs w:val="20"/>
    </w:rPr>
  </w:style>
  <w:style w:type="paragraph" w:styleId="ListParagraph">
    <w:name w:val="List Paragraph"/>
    <w:basedOn w:val="Normal"/>
    <w:uiPriority w:val="34"/>
    <w:qFormat/>
    <w:rsid w:val="00924F64"/>
    <w:pPr>
      <w:ind w:left="720"/>
      <w:contextualSpacing/>
    </w:pPr>
  </w:style>
  <w:style w:type="table" w:styleId="TableGrid">
    <w:name w:val="Table Grid"/>
    <w:basedOn w:val="TableNormal"/>
    <w:rsid w:val="005B01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E3B81"/>
    <w:rPr>
      <w:rFonts w:ascii="Tahoma" w:hAnsi="Tahoma" w:cs="Tahoma"/>
      <w:sz w:val="16"/>
      <w:szCs w:val="16"/>
    </w:rPr>
  </w:style>
  <w:style w:type="character" w:customStyle="1" w:styleId="BalloonTextChar">
    <w:name w:val="Balloon Text Char"/>
    <w:basedOn w:val="DefaultParagraphFont"/>
    <w:link w:val="BalloonText"/>
    <w:rsid w:val="00FE3B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Loyola University Maryland</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Sacco</dc:creator>
  <cp:lastModifiedBy>Robin Alsop</cp:lastModifiedBy>
  <cp:revision>3</cp:revision>
  <dcterms:created xsi:type="dcterms:W3CDTF">2015-06-22T00:13:00Z</dcterms:created>
  <dcterms:modified xsi:type="dcterms:W3CDTF">2015-06-22T00:14:00Z</dcterms:modified>
</cp:coreProperties>
</file>