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1E5" w:rsidRDefault="00BA03A9" w:rsidP="00BA03A9">
      <w:pPr>
        <w:jc w:val="right"/>
      </w:pPr>
      <w:r>
        <w:t>Student________________</w:t>
      </w:r>
    </w:p>
    <w:p w:rsidR="00BA03A9" w:rsidRDefault="00BA03A9" w:rsidP="00BA03A9">
      <w:pPr>
        <w:jc w:val="right"/>
      </w:pPr>
    </w:p>
    <w:p w:rsidR="00BA03A9" w:rsidRDefault="00BA03A9" w:rsidP="00BA03A9">
      <w:pPr>
        <w:jc w:val="right"/>
      </w:pPr>
    </w:p>
    <w:p w:rsidR="00BA03A9" w:rsidRPr="00BA03A9" w:rsidRDefault="00BA03A9" w:rsidP="00BA03A9">
      <w:pPr>
        <w:jc w:val="center"/>
        <w:rPr>
          <w:lang w:val="en-GB"/>
        </w:rPr>
      </w:pPr>
      <w:r w:rsidRPr="00BA03A9">
        <w:rPr>
          <w:lang w:val="en-GB"/>
        </w:rPr>
        <w:t xml:space="preserve">Test work  </w:t>
      </w:r>
    </w:p>
    <w:p w:rsidR="00BA03A9" w:rsidRPr="00BA03A9" w:rsidRDefault="00BA03A9" w:rsidP="00BA03A9">
      <w:pPr>
        <w:jc w:val="center"/>
        <w:rPr>
          <w:lang w:val="en-GB"/>
        </w:rPr>
      </w:pPr>
      <w:r w:rsidRPr="00BA03A9">
        <w:rPr>
          <w:lang w:val="en-GB"/>
        </w:rPr>
        <w:t>Short term Assets</w:t>
      </w:r>
    </w:p>
    <w:p w:rsidR="00BA03A9" w:rsidRPr="00BA03A9" w:rsidRDefault="00BA03A9" w:rsidP="00BA03A9">
      <w:pPr>
        <w:jc w:val="center"/>
        <w:rPr>
          <w:lang w:val="en-GB"/>
        </w:rPr>
      </w:pPr>
    </w:p>
    <w:p w:rsidR="00BA03A9" w:rsidRPr="008F75EA" w:rsidRDefault="00BA03A9" w:rsidP="00BA03A9">
      <w:pPr>
        <w:jc w:val="both"/>
        <w:rPr>
          <w:lang w:val="en-GB"/>
        </w:rPr>
      </w:pPr>
      <w:r w:rsidRPr="008F75EA">
        <w:rPr>
          <w:lang w:val="en-GB"/>
        </w:rPr>
        <w:t>Exercise No 1</w:t>
      </w:r>
    </w:p>
    <w:p w:rsidR="00BA03A9" w:rsidRPr="008F75EA" w:rsidRDefault="00BA03A9" w:rsidP="00BA03A9">
      <w:pPr>
        <w:jc w:val="both"/>
        <w:rPr>
          <w:lang w:val="en-GB"/>
        </w:rPr>
      </w:pPr>
    </w:p>
    <w:p w:rsidR="00BA03A9" w:rsidRPr="008F75EA" w:rsidRDefault="00BA03A9" w:rsidP="00BA03A9">
      <w:pPr>
        <w:jc w:val="both"/>
        <w:rPr>
          <w:lang w:val="en-GB"/>
        </w:rPr>
      </w:pPr>
      <w:r w:rsidRPr="008F75EA">
        <w:rPr>
          <w:lang w:val="en-GB"/>
        </w:rPr>
        <w:t>Company had an Accounts Receivable balance of 320000 USD and a credit balance in Allowance for Uncollectible Accounts 16700 USD at January 1, 2014. During the year, the company recorded the following transactions:</w:t>
      </w:r>
    </w:p>
    <w:p w:rsidR="00BA03A9" w:rsidRPr="008F75EA" w:rsidRDefault="00BA03A9" w:rsidP="00BA03A9">
      <w:pPr>
        <w:jc w:val="both"/>
        <w:rPr>
          <w:lang w:val="en-GB"/>
        </w:rPr>
      </w:pPr>
      <w:r w:rsidRPr="008F75EA">
        <w:rPr>
          <w:lang w:val="en-GB"/>
        </w:rPr>
        <w:tab/>
        <w:t xml:space="preserve">- </w:t>
      </w:r>
      <w:r w:rsidR="008F75EA" w:rsidRPr="008F75EA">
        <w:rPr>
          <w:lang w:val="en-GB"/>
        </w:rPr>
        <w:t>Sales</w:t>
      </w:r>
      <w:r w:rsidRPr="008F75EA">
        <w:rPr>
          <w:lang w:val="en-GB"/>
        </w:rPr>
        <w:t xml:space="preserve"> </w:t>
      </w:r>
      <w:r w:rsidRPr="008F75EA">
        <w:rPr>
          <w:lang w:val="en-GB"/>
        </w:rPr>
        <w:tab/>
      </w:r>
      <w:r w:rsidRPr="008F75EA">
        <w:rPr>
          <w:lang w:val="en-GB"/>
        </w:rPr>
        <w:tab/>
      </w:r>
      <w:r w:rsidRPr="008F75EA">
        <w:rPr>
          <w:lang w:val="en-GB"/>
        </w:rPr>
        <w:tab/>
      </w:r>
      <w:r w:rsidRPr="008F75EA">
        <w:rPr>
          <w:lang w:val="en-GB"/>
        </w:rPr>
        <w:tab/>
      </w:r>
      <w:r w:rsidRPr="008F75EA">
        <w:rPr>
          <w:lang w:val="en-GB"/>
        </w:rPr>
        <w:tab/>
      </w:r>
      <w:r w:rsidRPr="008F75EA">
        <w:rPr>
          <w:lang w:val="en-GB"/>
        </w:rPr>
        <w:tab/>
      </w:r>
      <w:r w:rsidRPr="008F75EA">
        <w:rPr>
          <w:lang w:val="en-GB"/>
        </w:rPr>
        <w:tab/>
        <w:t>1052000 USD</w:t>
      </w:r>
    </w:p>
    <w:p w:rsidR="00BA03A9" w:rsidRPr="008F75EA" w:rsidRDefault="00BA03A9" w:rsidP="00BA03A9">
      <w:pPr>
        <w:jc w:val="both"/>
        <w:rPr>
          <w:lang w:val="en-GB"/>
        </w:rPr>
      </w:pPr>
      <w:r w:rsidRPr="008F75EA">
        <w:rPr>
          <w:lang w:val="en-GB"/>
        </w:rPr>
        <w:tab/>
        <w:t xml:space="preserve">- </w:t>
      </w:r>
      <w:r w:rsidR="008F75EA" w:rsidRPr="008F75EA">
        <w:rPr>
          <w:lang w:val="en-GB"/>
        </w:rPr>
        <w:t>Sales</w:t>
      </w:r>
      <w:r w:rsidRPr="008F75EA">
        <w:rPr>
          <w:lang w:val="en-GB"/>
        </w:rPr>
        <w:t xml:space="preserve"> returns and allowances by credit customers</w:t>
      </w:r>
      <w:r w:rsidRPr="008F75EA">
        <w:rPr>
          <w:lang w:val="en-GB"/>
        </w:rPr>
        <w:tab/>
        <w:t xml:space="preserve">    53400 USD</w:t>
      </w:r>
    </w:p>
    <w:p w:rsidR="00BA03A9" w:rsidRPr="008F75EA" w:rsidRDefault="00BA03A9" w:rsidP="00BA03A9">
      <w:pPr>
        <w:jc w:val="both"/>
        <w:rPr>
          <w:lang w:val="en-GB"/>
        </w:rPr>
      </w:pPr>
      <w:r w:rsidRPr="008F75EA">
        <w:rPr>
          <w:lang w:val="en-GB"/>
        </w:rPr>
        <w:tab/>
        <w:t xml:space="preserve">- </w:t>
      </w:r>
      <w:r w:rsidR="008F75EA" w:rsidRPr="008F75EA">
        <w:rPr>
          <w:lang w:val="en-GB"/>
        </w:rPr>
        <w:t>Collections</w:t>
      </w:r>
      <w:r w:rsidRPr="008F75EA">
        <w:rPr>
          <w:lang w:val="en-GB"/>
        </w:rPr>
        <w:t xml:space="preserve"> from customers</w:t>
      </w:r>
      <w:r w:rsidRPr="008F75EA">
        <w:rPr>
          <w:lang w:val="en-GB"/>
        </w:rPr>
        <w:tab/>
      </w:r>
      <w:r w:rsidRPr="008F75EA">
        <w:rPr>
          <w:lang w:val="en-GB"/>
        </w:rPr>
        <w:tab/>
      </w:r>
      <w:r w:rsidRPr="008F75EA">
        <w:rPr>
          <w:lang w:val="en-GB"/>
        </w:rPr>
        <w:tab/>
      </w:r>
      <w:r w:rsidRPr="008F75EA">
        <w:rPr>
          <w:lang w:val="en-GB"/>
        </w:rPr>
        <w:tab/>
        <w:t xml:space="preserve">  993000 USD</w:t>
      </w:r>
    </w:p>
    <w:p w:rsidR="00BA03A9" w:rsidRPr="008F75EA" w:rsidRDefault="00BA03A9" w:rsidP="00BA03A9">
      <w:pPr>
        <w:jc w:val="both"/>
        <w:rPr>
          <w:lang w:val="en-GB"/>
        </w:rPr>
      </w:pPr>
      <w:r w:rsidRPr="008F75EA">
        <w:rPr>
          <w:lang w:val="en-GB"/>
        </w:rPr>
        <w:tab/>
        <w:t xml:space="preserve">- </w:t>
      </w:r>
      <w:r w:rsidR="008F75EA" w:rsidRPr="008F75EA">
        <w:rPr>
          <w:lang w:val="en-GB"/>
        </w:rPr>
        <w:t>Worthless</w:t>
      </w:r>
      <w:r w:rsidRPr="008F75EA">
        <w:rPr>
          <w:lang w:val="en-GB"/>
        </w:rPr>
        <w:t xml:space="preserve"> accounts written off</w:t>
      </w:r>
      <w:r w:rsidRPr="008F75EA">
        <w:rPr>
          <w:lang w:val="en-GB"/>
        </w:rPr>
        <w:tab/>
      </w:r>
      <w:r w:rsidRPr="008F75EA">
        <w:rPr>
          <w:lang w:val="en-GB"/>
        </w:rPr>
        <w:tab/>
      </w:r>
      <w:r w:rsidRPr="008F75EA">
        <w:rPr>
          <w:lang w:val="en-GB"/>
        </w:rPr>
        <w:tab/>
        <w:t xml:space="preserve">    19800 USD</w:t>
      </w:r>
    </w:p>
    <w:p w:rsidR="008F75EA" w:rsidRDefault="008F75EA" w:rsidP="00BA03A9">
      <w:pPr>
        <w:jc w:val="both"/>
        <w:rPr>
          <w:lang w:val="en-GB"/>
        </w:rPr>
      </w:pPr>
      <w:r w:rsidRPr="008F75EA">
        <w:rPr>
          <w:lang w:val="en-GB"/>
        </w:rPr>
        <w:t>The company`s past history indicates that 2.5% of its net credit sales will not be collected.</w:t>
      </w:r>
    </w:p>
    <w:p w:rsidR="008F75EA" w:rsidRDefault="008F75EA" w:rsidP="00BA03A9">
      <w:pPr>
        <w:jc w:val="both"/>
        <w:rPr>
          <w:lang w:val="en-GB"/>
        </w:rPr>
      </w:pPr>
    </w:p>
    <w:p w:rsidR="008F75EA" w:rsidRDefault="008F75EA" w:rsidP="00BA03A9">
      <w:pPr>
        <w:jc w:val="both"/>
        <w:rPr>
          <w:lang w:val="en-GB"/>
        </w:rPr>
      </w:pPr>
      <w:r>
        <w:rPr>
          <w:lang w:val="en-GB"/>
        </w:rPr>
        <w:t>Required:</w:t>
      </w:r>
    </w:p>
    <w:p w:rsidR="008F75EA" w:rsidRDefault="008F75EA" w:rsidP="008F75EA">
      <w:pPr>
        <w:pStyle w:val="Sarakstarindkopa"/>
        <w:numPr>
          <w:ilvl w:val="0"/>
          <w:numId w:val="1"/>
        </w:numPr>
        <w:jc w:val="both"/>
        <w:rPr>
          <w:lang w:val="en-GB"/>
        </w:rPr>
      </w:pPr>
      <w:r>
        <w:rPr>
          <w:lang w:val="en-GB"/>
        </w:rPr>
        <w:t>Prepare T accounts. Enter the beginning balances, and show the effects on these accounts of the items listed above, summarizing the year`s activity. Determine the ending balance of each account.</w:t>
      </w:r>
    </w:p>
    <w:p w:rsidR="008F75EA" w:rsidRDefault="008F75EA" w:rsidP="008F75EA">
      <w:pPr>
        <w:pStyle w:val="Sarakstarindkopa"/>
        <w:numPr>
          <w:ilvl w:val="0"/>
          <w:numId w:val="1"/>
        </w:numPr>
        <w:jc w:val="both"/>
        <w:rPr>
          <w:lang w:val="en-GB"/>
        </w:rPr>
      </w:pPr>
      <w:r>
        <w:rPr>
          <w:lang w:val="en-GB"/>
        </w:rPr>
        <w:t>Compute Uncollectible Accounts Expense and determine the ending balance of Allowance for Uncollectible Accounts under the percentage net sale method.</w:t>
      </w:r>
    </w:p>
    <w:p w:rsidR="008F75EA" w:rsidRDefault="008F75EA" w:rsidP="008F75EA">
      <w:pPr>
        <w:jc w:val="both"/>
        <w:rPr>
          <w:lang w:val="en-GB"/>
        </w:rPr>
      </w:pPr>
    </w:p>
    <w:p w:rsidR="008F75EA" w:rsidRDefault="008F75EA" w:rsidP="008F75EA">
      <w:pPr>
        <w:jc w:val="both"/>
        <w:rPr>
          <w:lang w:val="en-GB"/>
        </w:rPr>
      </w:pPr>
    </w:p>
    <w:p w:rsidR="008F75EA" w:rsidRDefault="008F75EA" w:rsidP="008F75EA">
      <w:pPr>
        <w:jc w:val="both"/>
        <w:rPr>
          <w:lang w:val="en-GB"/>
        </w:rPr>
      </w:pPr>
    </w:p>
    <w:p w:rsidR="008F75EA" w:rsidRDefault="008F75EA" w:rsidP="008F75EA">
      <w:pPr>
        <w:jc w:val="both"/>
        <w:rPr>
          <w:lang w:val="en-GB"/>
        </w:rPr>
      </w:pPr>
      <w:r>
        <w:rPr>
          <w:lang w:val="en-GB"/>
        </w:rPr>
        <w:t>Exercise No 2</w:t>
      </w:r>
    </w:p>
    <w:p w:rsidR="008F75EA" w:rsidRDefault="008F75EA" w:rsidP="008F75EA">
      <w:pPr>
        <w:jc w:val="both"/>
        <w:rPr>
          <w:lang w:val="en-GB"/>
        </w:rPr>
      </w:pPr>
    </w:p>
    <w:p w:rsidR="008F75EA" w:rsidRDefault="00C54530" w:rsidP="008F75EA">
      <w:pPr>
        <w:jc w:val="both"/>
        <w:rPr>
          <w:lang w:val="en-GB"/>
        </w:rPr>
      </w:pPr>
      <w:r>
        <w:rPr>
          <w:lang w:val="en-GB"/>
        </w:rPr>
        <w:t>During its first year of operation, Company purchased 5600 units of products at 21 USD per unit. During the second year, it purchased 6000 units of the same product at 24 USD per unit. During the third year, it purchased 5000 units at 30 USD per unit.</w:t>
      </w:r>
    </w:p>
    <w:p w:rsidR="00C54530" w:rsidRDefault="00C54530" w:rsidP="008F75EA">
      <w:pPr>
        <w:jc w:val="both"/>
        <w:rPr>
          <w:lang w:val="en-GB"/>
        </w:rPr>
      </w:pPr>
      <w:r>
        <w:rPr>
          <w:lang w:val="en-GB"/>
        </w:rPr>
        <w:t>Company managed to have an ending inventory each year of 1000 units. The company uses the periodic inventory system.</w:t>
      </w:r>
    </w:p>
    <w:p w:rsidR="00430A49" w:rsidRDefault="00430A49" w:rsidP="008F75EA">
      <w:pPr>
        <w:jc w:val="both"/>
        <w:rPr>
          <w:lang w:val="en-GB"/>
        </w:rPr>
      </w:pPr>
    </w:p>
    <w:p w:rsidR="00430A49" w:rsidRDefault="00430A49" w:rsidP="008F75EA">
      <w:pPr>
        <w:jc w:val="both"/>
        <w:rPr>
          <w:lang w:val="en-GB"/>
        </w:rPr>
      </w:pPr>
      <w:r>
        <w:rPr>
          <w:lang w:val="en-GB"/>
        </w:rPr>
        <w:t>Required:</w:t>
      </w:r>
    </w:p>
    <w:p w:rsidR="00800DA2" w:rsidRDefault="00800DA2" w:rsidP="008F75EA">
      <w:pPr>
        <w:jc w:val="both"/>
        <w:rPr>
          <w:lang w:val="en-GB"/>
        </w:rPr>
      </w:pPr>
      <w:r>
        <w:rPr>
          <w:lang w:val="en-GB"/>
        </w:rPr>
        <w:t>Prepare costs of goods sold statement that compare the value of ending inventory and the costs of goods sold for each of the three  years using the FIFO inventory costing method and the LIFO method. From the resulting data, what conclusions can you draw about relationships between changes in unit price and changes in the value of ending inventory?</w:t>
      </w:r>
    </w:p>
    <w:p w:rsidR="00800DA2" w:rsidRDefault="00800DA2" w:rsidP="008F75EA">
      <w:pPr>
        <w:jc w:val="both"/>
        <w:rPr>
          <w:lang w:val="en-GB"/>
        </w:rPr>
      </w:pPr>
    </w:p>
    <w:p w:rsidR="00800DA2" w:rsidRDefault="00800DA2" w:rsidP="008F75EA">
      <w:pPr>
        <w:jc w:val="both"/>
        <w:rPr>
          <w:lang w:val="en-GB"/>
        </w:rPr>
      </w:pPr>
    </w:p>
    <w:p w:rsidR="00800DA2" w:rsidRDefault="00800DA2" w:rsidP="008F75EA">
      <w:pPr>
        <w:jc w:val="both"/>
        <w:rPr>
          <w:lang w:val="en-GB"/>
        </w:rPr>
      </w:pPr>
    </w:p>
    <w:p w:rsidR="00800DA2" w:rsidRDefault="00800DA2" w:rsidP="008F75EA">
      <w:pPr>
        <w:jc w:val="both"/>
        <w:rPr>
          <w:lang w:val="en-GB"/>
        </w:rPr>
      </w:pPr>
    </w:p>
    <w:p w:rsidR="00800DA2" w:rsidRDefault="00800DA2" w:rsidP="008F75EA">
      <w:pPr>
        <w:jc w:val="both"/>
        <w:rPr>
          <w:lang w:val="en-GB"/>
        </w:rPr>
      </w:pPr>
    </w:p>
    <w:p w:rsidR="00800DA2" w:rsidRDefault="00800DA2" w:rsidP="008F75EA">
      <w:pPr>
        <w:jc w:val="both"/>
        <w:rPr>
          <w:lang w:val="en-GB"/>
        </w:rPr>
      </w:pPr>
    </w:p>
    <w:p w:rsidR="00800DA2" w:rsidRDefault="00800DA2" w:rsidP="008F75EA">
      <w:pPr>
        <w:jc w:val="both"/>
        <w:rPr>
          <w:lang w:val="en-GB"/>
        </w:rPr>
      </w:pPr>
    </w:p>
    <w:p w:rsidR="00800DA2" w:rsidRDefault="00800DA2" w:rsidP="008F75EA">
      <w:pPr>
        <w:jc w:val="both"/>
        <w:rPr>
          <w:lang w:val="en-GB"/>
        </w:rPr>
      </w:pPr>
    </w:p>
    <w:p w:rsidR="00800DA2" w:rsidRDefault="00800DA2" w:rsidP="008F75EA">
      <w:pPr>
        <w:jc w:val="both"/>
        <w:rPr>
          <w:lang w:val="en-GB"/>
        </w:rPr>
      </w:pPr>
    </w:p>
    <w:p w:rsidR="00800DA2" w:rsidRDefault="00800DA2" w:rsidP="008F75EA">
      <w:pPr>
        <w:jc w:val="both"/>
        <w:rPr>
          <w:lang w:val="en-GB"/>
        </w:rPr>
      </w:pPr>
      <w:r>
        <w:rPr>
          <w:lang w:val="en-GB"/>
        </w:rPr>
        <w:t>Exercise No 3</w:t>
      </w:r>
    </w:p>
    <w:p w:rsidR="00800DA2" w:rsidRDefault="00800DA2" w:rsidP="008F75EA">
      <w:pPr>
        <w:jc w:val="both"/>
        <w:rPr>
          <w:lang w:val="en-GB"/>
        </w:rPr>
      </w:pPr>
    </w:p>
    <w:p w:rsidR="00800DA2" w:rsidRDefault="00543F8E" w:rsidP="008F75EA">
      <w:pPr>
        <w:jc w:val="both"/>
        <w:rPr>
          <w:lang w:val="en-GB"/>
        </w:rPr>
      </w:pPr>
      <w:r>
        <w:rPr>
          <w:lang w:val="en-GB"/>
        </w:rPr>
        <w:t>McDougal Company merchandises a single product called Gailen. The following data represent beginning inventory and purchases of Gailen during 2014:</w:t>
      </w:r>
    </w:p>
    <w:p w:rsidR="00543F8E" w:rsidRDefault="00543F8E" w:rsidP="008F75EA">
      <w:pPr>
        <w:jc w:val="both"/>
        <w:rPr>
          <w:lang w:val="en-GB"/>
        </w:rPr>
      </w:pPr>
      <w:r>
        <w:rPr>
          <w:lang w:val="en-GB"/>
        </w:rPr>
        <w:t>January 1 inventory</w:t>
      </w:r>
      <w:r>
        <w:rPr>
          <w:lang w:val="en-GB"/>
        </w:rPr>
        <w:tab/>
      </w:r>
      <w:r>
        <w:rPr>
          <w:lang w:val="en-GB"/>
        </w:rPr>
        <w:tab/>
        <w:t>68000 units at 11.00 USD</w:t>
      </w:r>
    </w:p>
    <w:p w:rsidR="00543F8E" w:rsidRDefault="00543F8E" w:rsidP="008F75EA">
      <w:pPr>
        <w:jc w:val="both"/>
        <w:rPr>
          <w:lang w:val="en-GB"/>
        </w:rPr>
      </w:pPr>
      <w:r>
        <w:rPr>
          <w:lang w:val="en-GB"/>
        </w:rPr>
        <w:t>February purchases</w:t>
      </w:r>
      <w:r>
        <w:rPr>
          <w:lang w:val="en-GB"/>
        </w:rPr>
        <w:tab/>
      </w:r>
      <w:r>
        <w:rPr>
          <w:lang w:val="en-GB"/>
        </w:rPr>
        <w:tab/>
        <w:t>80000 units at 12.00 USD</w:t>
      </w:r>
    </w:p>
    <w:p w:rsidR="00543F8E" w:rsidRDefault="00543F8E" w:rsidP="008F75EA">
      <w:pPr>
        <w:jc w:val="both"/>
        <w:rPr>
          <w:lang w:val="en-GB"/>
        </w:rPr>
      </w:pPr>
      <w:r>
        <w:rPr>
          <w:lang w:val="en-GB"/>
        </w:rPr>
        <w:t>March purchases</w:t>
      </w:r>
      <w:r>
        <w:rPr>
          <w:lang w:val="en-GB"/>
        </w:rPr>
        <w:tab/>
        <w:t xml:space="preserve">          160000 units at 12.40 USD</w:t>
      </w:r>
    </w:p>
    <w:p w:rsidR="00543F8E" w:rsidRDefault="00543F8E" w:rsidP="008F75EA">
      <w:pPr>
        <w:jc w:val="both"/>
        <w:rPr>
          <w:lang w:val="en-GB"/>
        </w:rPr>
      </w:pPr>
      <w:r>
        <w:rPr>
          <w:lang w:val="en-GB"/>
        </w:rPr>
        <w:t>May purchases</w:t>
      </w:r>
      <w:r>
        <w:rPr>
          <w:lang w:val="en-GB"/>
        </w:rPr>
        <w:tab/>
        <w:t xml:space="preserve">          120000 units at 12.60 USD</w:t>
      </w:r>
    </w:p>
    <w:p w:rsidR="00543F8E" w:rsidRDefault="00543F8E" w:rsidP="008F75EA">
      <w:pPr>
        <w:jc w:val="both"/>
        <w:rPr>
          <w:lang w:val="en-GB"/>
        </w:rPr>
      </w:pPr>
      <w:r>
        <w:rPr>
          <w:lang w:val="en-GB"/>
        </w:rPr>
        <w:t>July purchases                       200000 units at 12.80 USD</w:t>
      </w:r>
    </w:p>
    <w:p w:rsidR="00543F8E" w:rsidRDefault="00543F8E" w:rsidP="008F75EA">
      <w:pPr>
        <w:jc w:val="both"/>
        <w:rPr>
          <w:lang w:val="en-GB"/>
        </w:rPr>
      </w:pPr>
      <w:r>
        <w:rPr>
          <w:lang w:val="en-GB"/>
        </w:rPr>
        <w:t>September purchases</w:t>
      </w:r>
      <w:r>
        <w:rPr>
          <w:lang w:val="en-GB"/>
        </w:rPr>
        <w:tab/>
        <w:t xml:space="preserve">          160000 units at 12.60 USD</w:t>
      </w:r>
    </w:p>
    <w:p w:rsidR="00543F8E" w:rsidRDefault="00543F8E" w:rsidP="008F75EA">
      <w:pPr>
        <w:jc w:val="both"/>
        <w:rPr>
          <w:lang w:val="en-GB"/>
        </w:rPr>
      </w:pPr>
      <w:r>
        <w:rPr>
          <w:lang w:val="en-GB"/>
        </w:rPr>
        <w:t>November purchases</w:t>
      </w:r>
      <w:r>
        <w:rPr>
          <w:lang w:val="en-GB"/>
        </w:rPr>
        <w:tab/>
      </w:r>
      <w:r>
        <w:rPr>
          <w:lang w:val="en-GB"/>
        </w:rPr>
        <w:tab/>
        <w:t>60000 units at 13.00 USD</w:t>
      </w:r>
    </w:p>
    <w:p w:rsidR="00982FA5" w:rsidRDefault="00982FA5" w:rsidP="008F75EA">
      <w:pPr>
        <w:jc w:val="both"/>
        <w:rPr>
          <w:lang w:val="en-GB"/>
        </w:rPr>
      </w:pPr>
    </w:p>
    <w:p w:rsidR="00800DA2" w:rsidRDefault="00982FA5" w:rsidP="008F75EA">
      <w:pPr>
        <w:jc w:val="both"/>
        <w:rPr>
          <w:lang w:val="en-GB"/>
        </w:rPr>
      </w:pPr>
      <w:r>
        <w:rPr>
          <w:lang w:val="en-GB"/>
        </w:rPr>
        <w:t>Sales of Gailen total 786000 units at 20 USD per unit. Selling and administrative costs total</w:t>
      </w:r>
      <w:r w:rsidR="00430A49">
        <w:rPr>
          <w:lang w:val="en-GB"/>
        </w:rPr>
        <w:t xml:space="preserve"> 5102000 USD for the year. McDougal Company uses the periodic inventory system.</w:t>
      </w:r>
    </w:p>
    <w:p w:rsidR="00430A49" w:rsidRDefault="00430A49" w:rsidP="008F75EA">
      <w:pPr>
        <w:jc w:val="both"/>
        <w:rPr>
          <w:lang w:val="en-GB"/>
        </w:rPr>
      </w:pPr>
    </w:p>
    <w:p w:rsidR="00430A49" w:rsidRDefault="00430A49" w:rsidP="008F75EA">
      <w:pPr>
        <w:jc w:val="both"/>
        <w:rPr>
          <w:lang w:val="en-GB"/>
        </w:rPr>
      </w:pPr>
      <w:r>
        <w:rPr>
          <w:lang w:val="en-GB"/>
        </w:rPr>
        <w:t>Required:</w:t>
      </w:r>
    </w:p>
    <w:p w:rsidR="00430A49" w:rsidRDefault="00430A49" w:rsidP="00430A49">
      <w:pPr>
        <w:pStyle w:val="Sarakstarindkopa"/>
        <w:numPr>
          <w:ilvl w:val="0"/>
          <w:numId w:val="2"/>
        </w:numPr>
        <w:jc w:val="both"/>
        <w:rPr>
          <w:lang w:val="en-GB"/>
        </w:rPr>
      </w:pPr>
      <w:r>
        <w:rPr>
          <w:lang w:val="en-GB"/>
        </w:rPr>
        <w:t>Prepare a schedule to compute the cost of goods available for sale.</w:t>
      </w:r>
    </w:p>
    <w:p w:rsidR="00430A49" w:rsidRDefault="00430A49" w:rsidP="00430A49">
      <w:pPr>
        <w:pStyle w:val="Sarakstarindkopa"/>
        <w:numPr>
          <w:ilvl w:val="0"/>
          <w:numId w:val="2"/>
        </w:numPr>
        <w:jc w:val="both"/>
        <w:rPr>
          <w:lang w:val="en-GB"/>
        </w:rPr>
      </w:pPr>
      <w:r>
        <w:rPr>
          <w:lang w:val="en-GB"/>
        </w:rPr>
        <w:t xml:space="preserve">Compute income before income tax under each of the following inventory cost flow assumptions: </w:t>
      </w:r>
    </w:p>
    <w:p w:rsidR="00430A49" w:rsidRDefault="00430A49" w:rsidP="00430A49">
      <w:pPr>
        <w:pStyle w:val="Sarakstarindkopa"/>
        <w:numPr>
          <w:ilvl w:val="1"/>
          <w:numId w:val="2"/>
        </w:numPr>
        <w:jc w:val="both"/>
        <w:rPr>
          <w:lang w:val="en-GB"/>
        </w:rPr>
      </w:pPr>
      <w:r>
        <w:rPr>
          <w:lang w:val="en-GB"/>
        </w:rPr>
        <w:t>The average-cost method</w:t>
      </w:r>
    </w:p>
    <w:p w:rsidR="00430A49" w:rsidRDefault="00430A49" w:rsidP="00430A49">
      <w:pPr>
        <w:pStyle w:val="Sarakstarindkopa"/>
        <w:numPr>
          <w:ilvl w:val="1"/>
          <w:numId w:val="2"/>
        </w:numPr>
        <w:jc w:val="both"/>
        <w:rPr>
          <w:lang w:val="en-GB"/>
        </w:rPr>
      </w:pPr>
      <w:r>
        <w:rPr>
          <w:lang w:val="en-GB"/>
        </w:rPr>
        <w:t xml:space="preserve"> The FIFO method</w:t>
      </w:r>
    </w:p>
    <w:p w:rsidR="00430A49" w:rsidRDefault="00430A49" w:rsidP="00430A49">
      <w:pPr>
        <w:pStyle w:val="Sarakstarindkopa"/>
        <w:numPr>
          <w:ilvl w:val="0"/>
          <w:numId w:val="2"/>
        </w:numPr>
        <w:jc w:val="both"/>
        <w:rPr>
          <w:lang w:val="en-GB"/>
        </w:rPr>
      </w:pPr>
      <w:r>
        <w:rPr>
          <w:lang w:val="en-GB"/>
        </w:rPr>
        <w:t>Compute inventory turnover and average days` inventory on hand under each of the inventory cost flow assumptions listed in 2</w:t>
      </w:r>
    </w:p>
    <w:p w:rsidR="0066400A" w:rsidRDefault="0066400A" w:rsidP="0066400A">
      <w:pPr>
        <w:jc w:val="both"/>
        <w:rPr>
          <w:lang w:val="en-GB"/>
        </w:rPr>
      </w:pPr>
    </w:p>
    <w:p w:rsidR="0066400A" w:rsidRDefault="0066400A" w:rsidP="0066400A">
      <w:pPr>
        <w:jc w:val="both"/>
        <w:rPr>
          <w:lang w:val="en-GB"/>
        </w:rPr>
      </w:pPr>
    </w:p>
    <w:p w:rsidR="0066400A" w:rsidRDefault="0066400A" w:rsidP="0066400A">
      <w:pPr>
        <w:jc w:val="both"/>
        <w:rPr>
          <w:lang w:val="en-GB"/>
        </w:rPr>
      </w:pPr>
    </w:p>
    <w:p w:rsidR="0066400A" w:rsidRDefault="0066400A" w:rsidP="0066400A">
      <w:pPr>
        <w:jc w:val="both"/>
        <w:rPr>
          <w:lang w:val="en-GB"/>
        </w:rPr>
      </w:pPr>
      <w:r>
        <w:rPr>
          <w:lang w:val="en-GB"/>
        </w:rPr>
        <w:t>Exercise No 4</w:t>
      </w:r>
    </w:p>
    <w:p w:rsidR="0066400A" w:rsidRDefault="0066400A" w:rsidP="0066400A">
      <w:pPr>
        <w:jc w:val="both"/>
        <w:rPr>
          <w:lang w:val="en-GB"/>
        </w:rPr>
      </w:pPr>
    </w:p>
    <w:p w:rsidR="0066400A" w:rsidRPr="0066400A" w:rsidRDefault="0066400A" w:rsidP="0066400A">
      <w:pPr>
        <w:jc w:val="both"/>
        <w:rPr>
          <w:lang w:val="en-GB"/>
        </w:rPr>
      </w:pPr>
      <w:r>
        <w:rPr>
          <w:lang w:val="en-GB"/>
        </w:rPr>
        <w:t>Avioni Fashon Store uses the accounts receivable (A/R) aging method to estimate uncollectible accounts. On January 1, 2014, the balance of the A/R was a debit of 446341 USD, and balance of Allowance for Uncollectible Accounts was a credit of 43000 USD. During the year, the store had sales on account of 3724000 USD, sales returns of 63000 USD, worthless accounts written off of 44300 USD and collections from customers of 3214000 USD. As part of the end-of-year procedures, an aging analysis of A/R is prepared. The total of the analysis, which is partially complete, follow:</w:t>
      </w:r>
    </w:p>
    <w:tbl>
      <w:tblPr>
        <w:tblStyle w:val="Reatabula"/>
        <w:tblW w:w="0" w:type="auto"/>
        <w:tblLook w:val="04A0" w:firstRow="1" w:lastRow="0" w:firstColumn="1" w:lastColumn="0" w:noHBand="0" w:noVBand="1"/>
      </w:tblPr>
      <w:tblGrid>
        <w:gridCol w:w="1217"/>
        <w:gridCol w:w="1217"/>
        <w:gridCol w:w="1217"/>
        <w:gridCol w:w="1217"/>
        <w:gridCol w:w="1218"/>
        <w:gridCol w:w="1218"/>
        <w:gridCol w:w="1218"/>
      </w:tblGrid>
      <w:tr w:rsidR="0066400A" w:rsidTr="0066400A">
        <w:tc>
          <w:tcPr>
            <w:tcW w:w="1217" w:type="dxa"/>
          </w:tcPr>
          <w:p w:rsidR="0066400A" w:rsidRDefault="0066400A" w:rsidP="008F75EA">
            <w:pPr>
              <w:jc w:val="both"/>
              <w:rPr>
                <w:lang w:val="en-GB"/>
              </w:rPr>
            </w:pPr>
            <w:r>
              <w:rPr>
                <w:lang w:val="en-GB"/>
              </w:rPr>
              <w:t>Customer Account</w:t>
            </w:r>
          </w:p>
        </w:tc>
        <w:tc>
          <w:tcPr>
            <w:tcW w:w="1217" w:type="dxa"/>
          </w:tcPr>
          <w:p w:rsidR="0066400A" w:rsidRDefault="0066400A" w:rsidP="008F75EA">
            <w:pPr>
              <w:jc w:val="both"/>
              <w:rPr>
                <w:lang w:val="en-GB"/>
              </w:rPr>
            </w:pPr>
            <w:r>
              <w:rPr>
                <w:lang w:val="en-GB"/>
              </w:rPr>
              <w:t>Total</w:t>
            </w:r>
          </w:p>
        </w:tc>
        <w:tc>
          <w:tcPr>
            <w:tcW w:w="1217" w:type="dxa"/>
          </w:tcPr>
          <w:p w:rsidR="0066400A" w:rsidRDefault="0066400A" w:rsidP="008F75EA">
            <w:pPr>
              <w:jc w:val="both"/>
              <w:rPr>
                <w:lang w:val="en-GB"/>
              </w:rPr>
            </w:pPr>
            <w:r>
              <w:rPr>
                <w:lang w:val="en-GB"/>
              </w:rPr>
              <w:t>Not Yet Due</w:t>
            </w:r>
          </w:p>
        </w:tc>
        <w:tc>
          <w:tcPr>
            <w:tcW w:w="1217" w:type="dxa"/>
          </w:tcPr>
          <w:p w:rsidR="0066400A" w:rsidRDefault="0066400A" w:rsidP="008F75EA">
            <w:pPr>
              <w:jc w:val="both"/>
              <w:rPr>
                <w:lang w:val="en-GB"/>
              </w:rPr>
            </w:pPr>
            <w:r>
              <w:rPr>
                <w:lang w:val="en-GB"/>
              </w:rPr>
              <w:t>1-30 days past due</w:t>
            </w:r>
          </w:p>
        </w:tc>
        <w:tc>
          <w:tcPr>
            <w:tcW w:w="1218" w:type="dxa"/>
          </w:tcPr>
          <w:p w:rsidR="0066400A" w:rsidRDefault="0066400A" w:rsidP="008F75EA">
            <w:pPr>
              <w:jc w:val="both"/>
              <w:rPr>
                <w:lang w:val="en-GB"/>
              </w:rPr>
            </w:pPr>
            <w:r>
              <w:rPr>
                <w:lang w:val="en-GB"/>
              </w:rPr>
              <w:t>31-60 days past due</w:t>
            </w:r>
          </w:p>
        </w:tc>
        <w:tc>
          <w:tcPr>
            <w:tcW w:w="1218" w:type="dxa"/>
          </w:tcPr>
          <w:p w:rsidR="0066400A" w:rsidRDefault="0066400A" w:rsidP="008F75EA">
            <w:pPr>
              <w:jc w:val="both"/>
              <w:rPr>
                <w:lang w:val="en-GB"/>
              </w:rPr>
            </w:pPr>
            <w:r>
              <w:rPr>
                <w:lang w:val="en-GB"/>
              </w:rPr>
              <w:t>61-90 days past due</w:t>
            </w:r>
          </w:p>
        </w:tc>
        <w:tc>
          <w:tcPr>
            <w:tcW w:w="1218" w:type="dxa"/>
          </w:tcPr>
          <w:p w:rsidR="0066400A" w:rsidRDefault="007F5C7C" w:rsidP="008F75EA">
            <w:pPr>
              <w:jc w:val="both"/>
              <w:rPr>
                <w:lang w:val="en-GB"/>
              </w:rPr>
            </w:pPr>
            <w:r>
              <w:rPr>
                <w:lang w:val="en-GB"/>
              </w:rPr>
              <w:t>Over 90 days past due</w:t>
            </w:r>
          </w:p>
        </w:tc>
      </w:tr>
      <w:tr w:rsidR="0066400A" w:rsidTr="0066400A">
        <w:tc>
          <w:tcPr>
            <w:tcW w:w="1217" w:type="dxa"/>
          </w:tcPr>
          <w:p w:rsidR="0066400A" w:rsidRDefault="007F5C7C" w:rsidP="008F75EA">
            <w:pPr>
              <w:jc w:val="both"/>
              <w:rPr>
                <w:lang w:val="en-GB"/>
              </w:rPr>
            </w:pPr>
            <w:r>
              <w:rPr>
                <w:lang w:val="en-GB"/>
              </w:rPr>
              <w:t>Balance Forward (USD)</w:t>
            </w:r>
          </w:p>
        </w:tc>
        <w:tc>
          <w:tcPr>
            <w:tcW w:w="1217" w:type="dxa"/>
          </w:tcPr>
          <w:p w:rsidR="0066400A" w:rsidRDefault="007F5C7C" w:rsidP="008F75EA">
            <w:pPr>
              <w:jc w:val="both"/>
              <w:rPr>
                <w:lang w:val="en-GB"/>
              </w:rPr>
            </w:pPr>
            <w:r>
              <w:rPr>
                <w:lang w:val="en-GB"/>
              </w:rPr>
              <w:t>793791</w:t>
            </w:r>
          </w:p>
        </w:tc>
        <w:tc>
          <w:tcPr>
            <w:tcW w:w="1217" w:type="dxa"/>
          </w:tcPr>
          <w:p w:rsidR="0066400A" w:rsidRDefault="007F5C7C" w:rsidP="008F75EA">
            <w:pPr>
              <w:jc w:val="both"/>
              <w:rPr>
                <w:lang w:val="en-GB"/>
              </w:rPr>
            </w:pPr>
            <w:r>
              <w:rPr>
                <w:lang w:val="en-GB"/>
              </w:rPr>
              <w:t>438933</w:t>
            </w:r>
          </w:p>
        </w:tc>
        <w:tc>
          <w:tcPr>
            <w:tcW w:w="1217" w:type="dxa"/>
          </w:tcPr>
          <w:p w:rsidR="0066400A" w:rsidRDefault="007F5C7C" w:rsidP="008F75EA">
            <w:pPr>
              <w:jc w:val="both"/>
              <w:rPr>
                <w:lang w:val="en-GB"/>
              </w:rPr>
            </w:pPr>
            <w:r>
              <w:rPr>
                <w:lang w:val="en-GB"/>
              </w:rPr>
              <w:t>149614</w:t>
            </w:r>
          </w:p>
        </w:tc>
        <w:tc>
          <w:tcPr>
            <w:tcW w:w="1218" w:type="dxa"/>
          </w:tcPr>
          <w:p w:rsidR="0066400A" w:rsidRDefault="007F5C7C" w:rsidP="008F75EA">
            <w:pPr>
              <w:jc w:val="both"/>
              <w:rPr>
                <w:lang w:val="en-GB"/>
              </w:rPr>
            </w:pPr>
            <w:r>
              <w:rPr>
                <w:lang w:val="en-GB"/>
              </w:rPr>
              <w:t>106400</w:t>
            </w:r>
          </w:p>
        </w:tc>
        <w:tc>
          <w:tcPr>
            <w:tcW w:w="1218" w:type="dxa"/>
          </w:tcPr>
          <w:p w:rsidR="0066400A" w:rsidRDefault="007F5C7C" w:rsidP="008F75EA">
            <w:pPr>
              <w:jc w:val="both"/>
              <w:rPr>
                <w:lang w:val="en-GB"/>
              </w:rPr>
            </w:pPr>
            <w:r>
              <w:rPr>
                <w:lang w:val="en-GB"/>
              </w:rPr>
              <w:t>57442</w:t>
            </w:r>
          </w:p>
        </w:tc>
        <w:tc>
          <w:tcPr>
            <w:tcW w:w="1218" w:type="dxa"/>
          </w:tcPr>
          <w:p w:rsidR="0066400A" w:rsidRDefault="007F5C7C" w:rsidP="008F75EA">
            <w:pPr>
              <w:jc w:val="both"/>
              <w:rPr>
                <w:lang w:val="en-GB"/>
              </w:rPr>
            </w:pPr>
            <w:r>
              <w:rPr>
                <w:lang w:val="en-GB"/>
              </w:rPr>
              <w:t>41402</w:t>
            </w:r>
          </w:p>
        </w:tc>
      </w:tr>
    </w:tbl>
    <w:p w:rsidR="007F5C7C" w:rsidRDefault="007F5C7C" w:rsidP="008F75EA">
      <w:pPr>
        <w:jc w:val="both"/>
        <w:rPr>
          <w:lang w:val="en-GB"/>
        </w:rPr>
      </w:pPr>
    </w:p>
    <w:p w:rsidR="007F5C7C" w:rsidRDefault="007F5C7C" w:rsidP="008F75EA">
      <w:pPr>
        <w:jc w:val="both"/>
        <w:rPr>
          <w:lang w:val="en-GB"/>
        </w:rPr>
      </w:pPr>
    </w:p>
    <w:p w:rsidR="007F5C7C" w:rsidRDefault="007F5C7C" w:rsidP="008F75EA">
      <w:pPr>
        <w:jc w:val="both"/>
        <w:rPr>
          <w:lang w:val="en-GB"/>
        </w:rPr>
      </w:pPr>
    </w:p>
    <w:p w:rsidR="007F5C7C" w:rsidRDefault="007F5C7C" w:rsidP="008F75EA">
      <w:pPr>
        <w:jc w:val="both"/>
        <w:rPr>
          <w:lang w:val="en-GB"/>
        </w:rPr>
      </w:pPr>
    </w:p>
    <w:p w:rsidR="007F5C7C" w:rsidRDefault="007F5C7C" w:rsidP="008F75EA">
      <w:pPr>
        <w:jc w:val="both"/>
        <w:rPr>
          <w:lang w:val="en-GB"/>
        </w:rPr>
      </w:pPr>
    </w:p>
    <w:p w:rsidR="007F5C7C" w:rsidRDefault="007F5C7C" w:rsidP="008F75EA">
      <w:pPr>
        <w:jc w:val="both"/>
        <w:rPr>
          <w:lang w:val="en-GB"/>
        </w:rPr>
      </w:pPr>
    </w:p>
    <w:p w:rsidR="00430A49" w:rsidRDefault="007F5C7C" w:rsidP="008F75EA">
      <w:pPr>
        <w:jc w:val="both"/>
        <w:rPr>
          <w:lang w:val="en-GB"/>
        </w:rPr>
      </w:pPr>
      <w:r>
        <w:rPr>
          <w:lang w:val="en-GB"/>
        </w:rPr>
        <w:lastRenderedPageBreak/>
        <w:t>To finish the analysis, the following accounts need to be classified:</w:t>
      </w:r>
    </w:p>
    <w:tbl>
      <w:tblPr>
        <w:tblStyle w:val="Reatabula"/>
        <w:tblW w:w="0" w:type="auto"/>
        <w:tblLook w:val="04A0" w:firstRow="1" w:lastRow="0" w:firstColumn="1" w:lastColumn="0" w:noHBand="0" w:noVBand="1"/>
      </w:tblPr>
      <w:tblGrid>
        <w:gridCol w:w="2840"/>
        <w:gridCol w:w="2841"/>
        <w:gridCol w:w="2841"/>
      </w:tblGrid>
      <w:tr w:rsidR="007F5C7C" w:rsidTr="007F5C7C">
        <w:tc>
          <w:tcPr>
            <w:tcW w:w="2840" w:type="dxa"/>
          </w:tcPr>
          <w:p w:rsidR="007F5C7C" w:rsidRDefault="007F5C7C" w:rsidP="008F75EA">
            <w:pPr>
              <w:jc w:val="both"/>
              <w:rPr>
                <w:lang w:val="en-GB"/>
              </w:rPr>
            </w:pPr>
            <w:r>
              <w:rPr>
                <w:lang w:val="en-GB"/>
              </w:rPr>
              <w:t>Account</w:t>
            </w:r>
          </w:p>
        </w:tc>
        <w:tc>
          <w:tcPr>
            <w:tcW w:w="2841" w:type="dxa"/>
          </w:tcPr>
          <w:p w:rsidR="007F5C7C" w:rsidRDefault="007F5C7C" w:rsidP="008F75EA">
            <w:pPr>
              <w:jc w:val="both"/>
              <w:rPr>
                <w:lang w:val="en-GB"/>
              </w:rPr>
            </w:pPr>
            <w:r>
              <w:rPr>
                <w:lang w:val="en-GB"/>
              </w:rPr>
              <w:t>Amount USD</w:t>
            </w:r>
          </w:p>
        </w:tc>
        <w:tc>
          <w:tcPr>
            <w:tcW w:w="2841" w:type="dxa"/>
          </w:tcPr>
          <w:p w:rsidR="007F5C7C" w:rsidRDefault="007F5C7C" w:rsidP="008F75EA">
            <w:pPr>
              <w:jc w:val="both"/>
              <w:rPr>
                <w:lang w:val="en-GB"/>
              </w:rPr>
            </w:pPr>
            <w:r>
              <w:rPr>
                <w:lang w:val="en-GB"/>
              </w:rPr>
              <w:t>Due Date</w:t>
            </w:r>
          </w:p>
        </w:tc>
      </w:tr>
      <w:tr w:rsidR="007F5C7C" w:rsidTr="007F5C7C">
        <w:tc>
          <w:tcPr>
            <w:tcW w:w="2840" w:type="dxa"/>
          </w:tcPr>
          <w:p w:rsidR="007F5C7C" w:rsidRDefault="007F5C7C" w:rsidP="008F75EA">
            <w:pPr>
              <w:jc w:val="both"/>
              <w:rPr>
                <w:lang w:val="en-GB"/>
              </w:rPr>
            </w:pPr>
            <w:r>
              <w:rPr>
                <w:lang w:val="en-GB"/>
              </w:rPr>
              <w:t>B.Sunni</w:t>
            </w:r>
          </w:p>
        </w:tc>
        <w:tc>
          <w:tcPr>
            <w:tcW w:w="2841" w:type="dxa"/>
          </w:tcPr>
          <w:p w:rsidR="007F5C7C" w:rsidRDefault="007F5C7C" w:rsidP="008F75EA">
            <w:pPr>
              <w:jc w:val="both"/>
              <w:rPr>
                <w:lang w:val="en-GB"/>
              </w:rPr>
            </w:pPr>
            <w:r>
              <w:rPr>
                <w:lang w:val="en-GB"/>
              </w:rPr>
              <w:t>10977</w:t>
            </w:r>
          </w:p>
        </w:tc>
        <w:tc>
          <w:tcPr>
            <w:tcW w:w="2841" w:type="dxa"/>
          </w:tcPr>
          <w:p w:rsidR="007F5C7C" w:rsidRDefault="007F5C7C" w:rsidP="007F5C7C">
            <w:pPr>
              <w:jc w:val="both"/>
              <w:rPr>
                <w:lang w:val="en-GB"/>
              </w:rPr>
            </w:pPr>
            <w:r>
              <w:rPr>
                <w:lang w:val="en-GB"/>
              </w:rPr>
              <w:t xml:space="preserve">January 15 </w:t>
            </w:r>
          </w:p>
        </w:tc>
      </w:tr>
      <w:tr w:rsidR="007F5C7C" w:rsidTr="007F5C7C">
        <w:tc>
          <w:tcPr>
            <w:tcW w:w="2840" w:type="dxa"/>
          </w:tcPr>
          <w:p w:rsidR="007F5C7C" w:rsidRDefault="007F5C7C" w:rsidP="008F75EA">
            <w:pPr>
              <w:jc w:val="both"/>
              <w:rPr>
                <w:lang w:val="en-GB"/>
              </w:rPr>
            </w:pPr>
            <w:r>
              <w:rPr>
                <w:lang w:val="en-GB"/>
              </w:rPr>
              <w:t>S. Hoffman</w:t>
            </w:r>
          </w:p>
        </w:tc>
        <w:tc>
          <w:tcPr>
            <w:tcW w:w="2841" w:type="dxa"/>
          </w:tcPr>
          <w:p w:rsidR="007F5C7C" w:rsidRDefault="007F5C7C" w:rsidP="008F75EA">
            <w:pPr>
              <w:jc w:val="both"/>
              <w:rPr>
                <w:lang w:val="en-GB"/>
              </w:rPr>
            </w:pPr>
            <w:r>
              <w:rPr>
                <w:lang w:val="en-GB"/>
              </w:rPr>
              <w:t>9314</w:t>
            </w:r>
          </w:p>
        </w:tc>
        <w:tc>
          <w:tcPr>
            <w:tcW w:w="2841" w:type="dxa"/>
          </w:tcPr>
          <w:p w:rsidR="007F5C7C" w:rsidRDefault="007F5C7C" w:rsidP="008F75EA">
            <w:pPr>
              <w:jc w:val="both"/>
              <w:rPr>
                <w:lang w:val="en-GB"/>
              </w:rPr>
            </w:pPr>
            <w:r>
              <w:rPr>
                <w:lang w:val="en-GB"/>
              </w:rPr>
              <w:t>February 15 (next year)</w:t>
            </w:r>
          </w:p>
        </w:tc>
      </w:tr>
      <w:tr w:rsidR="007F5C7C" w:rsidTr="007F5C7C">
        <w:tc>
          <w:tcPr>
            <w:tcW w:w="2840" w:type="dxa"/>
          </w:tcPr>
          <w:p w:rsidR="007F5C7C" w:rsidRDefault="007F5C7C" w:rsidP="008F75EA">
            <w:pPr>
              <w:jc w:val="both"/>
              <w:rPr>
                <w:lang w:val="en-GB"/>
              </w:rPr>
            </w:pPr>
            <w:r>
              <w:rPr>
                <w:lang w:val="en-GB"/>
              </w:rPr>
              <w:t>D.Ywahoo</w:t>
            </w:r>
          </w:p>
        </w:tc>
        <w:tc>
          <w:tcPr>
            <w:tcW w:w="2841" w:type="dxa"/>
          </w:tcPr>
          <w:p w:rsidR="007F5C7C" w:rsidRDefault="007F5C7C" w:rsidP="008F75EA">
            <w:pPr>
              <w:jc w:val="both"/>
              <w:rPr>
                <w:lang w:val="en-GB"/>
              </w:rPr>
            </w:pPr>
            <w:r>
              <w:rPr>
                <w:lang w:val="en-GB"/>
              </w:rPr>
              <w:t>8664</w:t>
            </w:r>
          </w:p>
        </w:tc>
        <w:tc>
          <w:tcPr>
            <w:tcW w:w="2841" w:type="dxa"/>
          </w:tcPr>
          <w:p w:rsidR="007F5C7C" w:rsidRDefault="007F5C7C" w:rsidP="008F75EA">
            <w:pPr>
              <w:jc w:val="both"/>
              <w:rPr>
                <w:lang w:val="en-GB"/>
              </w:rPr>
            </w:pPr>
            <w:r>
              <w:rPr>
                <w:lang w:val="en-GB"/>
              </w:rPr>
              <w:t>December 20</w:t>
            </w:r>
          </w:p>
        </w:tc>
      </w:tr>
      <w:tr w:rsidR="007F5C7C" w:rsidTr="007F5C7C">
        <w:tc>
          <w:tcPr>
            <w:tcW w:w="2840" w:type="dxa"/>
          </w:tcPr>
          <w:p w:rsidR="007F5C7C" w:rsidRDefault="007F5C7C" w:rsidP="008F75EA">
            <w:pPr>
              <w:jc w:val="both"/>
              <w:rPr>
                <w:lang w:val="en-GB"/>
              </w:rPr>
            </w:pPr>
            <w:r>
              <w:rPr>
                <w:lang w:val="en-GB"/>
              </w:rPr>
              <w:t>P. Blaine</w:t>
            </w:r>
          </w:p>
        </w:tc>
        <w:tc>
          <w:tcPr>
            <w:tcW w:w="2841" w:type="dxa"/>
          </w:tcPr>
          <w:p w:rsidR="007F5C7C" w:rsidRDefault="007F5C7C" w:rsidP="008F75EA">
            <w:pPr>
              <w:jc w:val="both"/>
              <w:rPr>
                <w:lang w:val="en-GB"/>
              </w:rPr>
            </w:pPr>
            <w:r>
              <w:rPr>
                <w:lang w:val="en-GB"/>
              </w:rPr>
              <w:t>780</w:t>
            </w:r>
          </w:p>
        </w:tc>
        <w:tc>
          <w:tcPr>
            <w:tcW w:w="2841" w:type="dxa"/>
          </w:tcPr>
          <w:p w:rsidR="007F5C7C" w:rsidRDefault="007F5C7C" w:rsidP="008F75EA">
            <w:pPr>
              <w:jc w:val="both"/>
              <w:rPr>
                <w:lang w:val="en-GB"/>
              </w:rPr>
            </w:pPr>
            <w:r>
              <w:rPr>
                <w:lang w:val="en-GB"/>
              </w:rPr>
              <w:t>October 1</w:t>
            </w:r>
          </w:p>
        </w:tc>
      </w:tr>
      <w:tr w:rsidR="007F5C7C" w:rsidTr="007F5C7C">
        <w:tc>
          <w:tcPr>
            <w:tcW w:w="2840" w:type="dxa"/>
          </w:tcPr>
          <w:p w:rsidR="007F5C7C" w:rsidRDefault="007F5C7C" w:rsidP="008F75EA">
            <w:pPr>
              <w:jc w:val="both"/>
              <w:rPr>
                <w:lang w:val="en-GB"/>
              </w:rPr>
            </w:pPr>
            <w:r>
              <w:rPr>
                <w:lang w:val="en-GB"/>
              </w:rPr>
              <w:t>K.Matson</w:t>
            </w:r>
          </w:p>
        </w:tc>
        <w:tc>
          <w:tcPr>
            <w:tcW w:w="2841" w:type="dxa"/>
          </w:tcPr>
          <w:p w:rsidR="007F5C7C" w:rsidRDefault="007F5C7C" w:rsidP="008F75EA">
            <w:pPr>
              <w:jc w:val="both"/>
              <w:rPr>
                <w:lang w:val="en-GB"/>
              </w:rPr>
            </w:pPr>
            <w:r>
              <w:rPr>
                <w:lang w:val="en-GB"/>
              </w:rPr>
              <w:t>14810</w:t>
            </w:r>
          </w:p>
        </w:tc>
        <w:tc>
          <w:tcPr>
            <w:tcW w:w="2841" w:type="dxa"/>
          </w:tcPr>
          <w:p w:rsidR="007F5C7C" w:rsidRDefault="007F5C7C" w:rsidP="007F5C7C">
            <w:pPr>
              <w:jc w:val="both"/>
              <w:rPr>
                <w:lang w:val="en-GB"/>
              </w:rPr>
            </w:pPr>
            <w:r>
              <w:rPr>
                <w:lang w:val="en-GB"/>
              </w:rPr>
              <w:t xml:space="preserve">January 4 </w:t>
            </w:r>
          </w:p>
        </w:tc>
      </w:tr>
      <w:tr w:rsidR="007F5C7C" w:rsidTr="007F5C7C">
        <w:tc>
          <w:tcPr>
            <w:tcW w:w="2840" w:type="dxa"/>
          </w:tcPr>
          <w:p w:rsidR="007F5C7C" w:rsidRDefault="007F5C7C" w:rsidP="008F75EA">
            <w:pPr>
              <w:jc w:val="both"/>
              <w:rPr>
                <w:lang w:val="en-GB"/>
              </w:rPr>
            </w:pPr>
            <w:r>
              <w:rPr>
                <w:lang w:val="en-GB"/>
              </w:rPr>
              <w:t>J.Labergo</w:t>
            </w:r>
          </w:p>
        </w:tc>
        <w:tc>
          <w:tcPr>
            <w:tcW w:w="2841" w:type="dxa"/>
          </w:tcPr>
          <w:p w:rsidR="007F5C7C" w:rsidRDefault="007F5C7C" w:rsidP="008F75EA">
            <w:pPr>
              <w:jc w:val="both"/>
              <w:rPr>
                <w:lang w:val="en-GB"/>
              </w:rPr>
            </w:pPr>
            <w:r>
              <w:rPr>
                <w:lang w:val="en-GB"/>
              </w:rPr>
              <w:t>6316</w:t>
            </w:r>
          </w:p>
        </w:tc>
        <w:tc>
          <w:tcPr>
            <w:tcW w:w="2841" w:type="dxa"/>
          </w:tcPr>
          <w:p w:rsidR="007F5C7C" w:rsidRDefault="007F5C7C" w:rsidP="008F75EA">
            <w:pPr>
              <w:jc w:val="both"/>
              <w:rPr>
                <w:lang w:val="en-GB"/>
              </w:rPr>
            </w:pPr>
            <w:r>
              <w:rPr>
                <w:lang w:val="en-GB"/>
              </w:rPr>
              <w:t>November 15</w:t>
            </w:r>
          </w:p>
        </w:tc>
      </w:tr>
      <w:tr w:rsidR="007F5C7C" w:rsidTr="007F5C7C">
        <w:tc>
          <w:tcPr>
            <w:tcW w:w="2840" w:type="dxa"/>
          </w:tcPr>
          <w:p w:rsidR="007F5C7C" w:rsidRPr="007F5C7C" w:rsidRDefault="007F5C7C" w:rsidP="007F5C7C">
            <w:pPr>
              <w:jc w:val="both"/>
              <w:rPr>
                <w:lang w:val="en-GB"/>
              </w:rPr>
            </w:pPr>
            <w:r>
              <w:rPr>
                <w:lang w:val="en-GB"/>
              </w:rPr>
              <w:t>A.</w:t>
            </w:r>
            <w:r w:rsidRPr="007F5C7C">
              <w:rPr>
                <w:lang w:val="en-GB"/>
              </w:rPr>
              <w:t>Minta</w:t>
            </w:r>
          </w:p>
        </w:tc>
        <w:tc>
          <w:tcPr>
            <w:tcW w:w="2841" w:type="dxa"/>
          </w:tcPr>
          <w:p w:rsidR="007F5C7C" w:rsidRDefault="007F5C7C" w:rsidP="008F75EA">
            <w:pPr>
              <w:jc w:val="both"/>
              <w:rPr>
                <w:lang w:val="en-GB"/>
              </w:rPr>
            </w:pPr>
            <w:r>
              <w:rPr>
                <w:lang w:val="en-GB"/>
              </w:rPr>
              <w:t>4389</w:t>
            </w:r>
          </w:p>
        </w:tc>
        <w:tc>
          <w:tcPr>
            <w:tcW w:w="2841" w:type="dxa"/>
          </w:tcPr>
          <w:p w:rsidR="007F5C7C" w:rsidRDefault="007F5C7C" w:rsidP="008F75EA">
            <w:pPr>
              <w:jc w:val="both"/>
              <w:rPr>
                <w:lang w:val="en-GB"/>
              </w:rPr>
            </w:pPr>
            <w:r>
              <w:rPr>
                <w:lang w:val="en-GB"/>
              </w:rPr>
              <w:t>March 1 (next year)</w:t>
            </w:r>
          </w:p>
        </w:tc>
      </w:tr>
    </w:tbl>
    <w:p w:rsidR="007F5C7C" w:rsidRDefault="007F5C7C" w:rsidP="008F75EA">
      <w:pPr>
        <w:jc w:val="both"/>
        <w:rPr>
          <w:lang w:val="en-GB"/>
        </w:rPr>
      </w:pPr>
    </w:p>
    <w:p w:rsidR="007F5C7C" w:rsidRDefault="007F5C7C" w:rsidP="008F75EA">
      <w:pPr>
        <w:jc w:val="both"/>
        <w:rPr>
          <w:lang w:val="en-GB"/>
        </w:rPr>
      </w:pPr>
      <w:r>
        <w:rPr>
          <w:lang w:val="en-GB"/>
        </w:rPr>
        <w:t>From the experience, the company has found that the following rates are realistic for estimating uncollectible accounts:</w:t>
      </w:r>
    </w:p>
    <w:p w:rsidR="007F5C7C" w:rsidRDefault="007F5C7C" w:rsidP="008F75EA">
      <w:pPr>
        <w:jc w:val="both"/>
        <w:rPr>
          <w:lang w:val="en-GB"/>
        </w:rPr>
      </w:pPr>
    </w:p>
    <w:tbl>
      <w:tblPr>
        <w:tblStyle w:val="Reatabula"/>
        <w:tblW w:w="0" w:type="auto"/>
        <w:tblLook w:val="04A0" w:firstRow="1" w:lastRow="0" w:firstColumn="1" w:lastColumn="0" w:noHBand="0" w:noVBand="1"/>
      </w:tblPr>
      <w:tblGrid>
        <w:gridCol w:w="4261"/>
        <w:gridCol w:w="4261"/>
      </w:tblGrid>
      <w:tr w:rsidR="00354D20" w:rsidTr="00354D20">
        <w:tc>
          <w:tcPr>
            <w:tcW w:w="4261" w:type="dxa"/>
          </w:tcPr>
          <w:p w:rsidR="00354D20" w:rsidRDefault="00354D20" w:rsidP="008F75EA">
            <w:pPr>
              <w:jc w:val="both"/>
              <w:rPr>
                <w:lang w:val="en-GB"/>
              </w:rPr>
            </w:pPr>
            <w:r>
              <w:rPr>
                <w:lang w:val="en-GB"/>
              </w:rPr>
              <w:t>Time</w:t>
            </w:r>
          </w:p>
        </w:tc>
        <w:tc>
          <w:tcPr>
            <w:tcW w:w="4261" w:type="dxa"/>
          </w:tcPr>
          <w:p w:rsidR="00354D20" w:rsidRDefault="00354D20" w:rsidP="008F75EA">
            <w:pPr>
              <w:jc w:val="both"/>
              <w:rPr>
                <w:lang w:val="en-GB"/>
              </w:rPr>
            </w:pPr>
            <w:r>
              <w:rPr>
                <w:lang w:val="en-GB"/>
              </w:rPr>
              <w:t>% Considered Uncollectible</w:t>
            </w:r>
          </w:p>
        </w:tc>
      </w:tr>
      <w:tr w:rsidR="00354D20" w:rsidTr="00354D20">
        <w:tc>
          <w:tcPr>
            <w:tcW w:w="4261" w:type="dxa"/>
          </w:tcPr>
          <w:p w:rsidR="00354D20" w:rsidRDefault="00354D20" w:rsidP="008F75EA">
            <w:pPr>
              <w:jc w:val="both"/>
              <w:rPr>
                <w:lang w:val="en-GB"/>
              </w:rPr>
            </w:pPr>
            <w:r>
              <w:rPr>
                <w:lang w:val="en-GB"/>
              </w:rPr>
              <w:t>Not yet due</w:t>
            </w:r>
          </w:p>
        </w:tc>
        <w:tc>
          <w:tcPr>
            <w:tcW w:w="4261" w:type="dxa"/>
          </w:tcPr>
          <w:p w:rsidR="00354D20" w:rsidRDefault="00354D20" w:rsidP="008F75EA">
            <w:pPr>
              <w:jc w:val="both"/>
              <w:rPr>
                <w:lang w:val="en-GB"/>
              </w:rPr>
            </w:pPr>
            <w:r>
              <w:rPr>
                <w:lang w:val="en-GB"/>
              </w:rPr>
              <w:t>2</w:t>
            </w:r>
          </w:p>
        </w:tc>
      </w:tr>
      <w:tr w:rsidR="00354D20" w:rsidTr="00354D20">
        <w:tc>
          <w:tcPr>
            <w:tcW w:w="4261" w:type="dxa"/>
          </w:tcPr>
          <w:p w:rsidR="00354D20" w:rsidRDefault="00354D20" w:rsidP="008F75EA">
            <w:pPr>
              <w:jc w:val="both"/>
              <w:rPr>
                <w:lang w:val="en-GB"/>
              </w:rPr>
            </w:pPr>
            <w:r>
              <w:rPr>
                <w:lang w:val="en-GB"/>
              </w:rPr>
              <w:t>1-30 days past due</w:t>
            </w:r>
          </w:p>
        </w:tc>
        <w:tc>
          <w:tcPr>
            <w:tcW w:w="4261" w:type="dxa"/>
          </w:tcPr>
          <w:p w:rsidR="00354D20" w:rsidRDefault="00354D20" w:rsidP="008F75EA">
            <w:pPr>
              <w:jc w:val="both"/>
              <w:rPr>
                <w:lang w:val="en-GB"/>
              </w:rPr>
            </w:pPr>
            <w:r>
              <w:rPr>
                <w:lang w:val="en-GB"/>
              </w:rPr>
              <w:t>5</w:t>
            </w:r>
          </w:p>
        </w:tc>
      </w:tr>
      <w:tr w:rsidR="00354D20" w:rsidTr="00354D20">
        <w:tc>
          <w:tcPr>
            <w:tcW w:w="4261" w:type="dxa"/>
          </w:tcPr>
          <w:p w:rsidR="00354D20" w:rsidRDefault="00354D20" w:rsidP="008F75EA">
            <w:pPr>
              <w:jc w:val="both"/>
              <w:rPr>
                <w:lang w:val="en-GB"/>
              </w:rPr>
            </w:pPr>
            <w:r>
              <w:rPr>
                <w:lang w:val="en-GB"/>
              </w:rPr>
              <w:t>31-60 days past due</w:t>
            </w:r>
          </w:p>
        </w:tc>
        <w:tc>
          <w:tcPr>
            <w:tcW w:w="4261" w:type="dxa"/>
          </w:tcPr>
          <w:p w:rsidR="00354D20" w:rsidRDefault="00354D20" w:rsidP="008F75EA">
            <w:pPr>
              <w:jc w:val="both"/>
              <w:rPr>
                <w:lang w:val="en-GB"/>
              </w:rPr>
            </w:pPr>
            <w:r>
              <w:rPr>
                <w:lang w:val="en-GB"/>
              </w:rPr>
              <w:t>15</w:t>
            </w:r>
          </w:p>
        </w:tc>
      </w:tr>
      <w:tr w:rsidR="00354D20" w:rsidTr="00354D20">
        <w:tc>
          <w:tcPr>
            <w:tcW w:w="4261" w:type="dxa"/>
          </w:tcPr>
          <w:p w:rsidR="00354D20" w:rsidRDefault="00354D20" w:rsidP="008F75EA">
            <w:pPr>
              <w:jc w:val="both"/>
              <w:rPr>
                <w:lang w:val="en-GB"/>
              </w:rPr>
            </w:pPr>
            <w:r>
              <w:rPr>
                <w:lang w:val="en-GB"/>
              </w:rPr>
              <w:t>61 -90 days past due</w:t>
            </w:r>
          </w:p>
        </w:tc>
        <w:tc>
          <w:tcPr>
            <w:tcW w:w="4261" w:type="dxa"/>
          </w:tcPr>
          <w:p w:rsidR="00354D20" w:rsidRDefault="00354D20" w:rsidP="008F75EA">
            <w:pPr>
              <w:jc w:val="both"/>
              <w:rPr>
                <w:lang w:val="en-GB"/>
              </w:rPr>
            </w:pPr>
            <w:r>
              <w:rPr>
                <w:lang w:val="en-GB"/>
              </w:rPr>
              <w:t>25</w:t>
            </w:r>
          </w:p>
        </w:tc>
      </w:tr>
      <w:tr w:rsidR="00354D20" w:rsidTr="00354D20">
        <w:tc>
          <w:tcPr>
            <w:tcW w:w="4261" w:type="dxa"/>
          </w:tcPr>
          <w:p w:rsidR="00354D20" w:rsidRDefault="00354D20" w:rsidP="008F75EA">
            <w:pPr>
              <w:jc w:val="both"/>
              <w:rPr>
                <w:lang w:val="en-GB"/>
              </w:rPr>
            </w:pPr>
            <w:r>
              <w:rPr>
                <w:lang w:val="en-GB"/>
              </w:rPr>
              <w:t>Over 90 days past due</w:t>
            </w:r>
          </w:p>
        </w:tc>
        <w:tc>
          <w:tcPr>
            <w:tcW w:w="4261" w:type="dxa"/>
          </w:tcPr>
          <w:p w:rsidR="00354D20" w:rsidRDefault="00354D20" w:rsidP="008F75EA">
            <w:pPr>
              <w:jc w:val="both"/>
              <w:rPr>
                <w:lang w:val="en-GB"/>
              </w:rPr>
            </w:pPr>
            <w:r>
              <w:rPr>
                <w:lang w:val="en-GB"/>
              </w:rPr>
              <w:t>50</w:t>
            </w:r>
          </w:p>
        </w:tc>
      </w:tr>
    </w:tbl>
    <w:p w:rsidR="007F5C7C" w:rsidRDefault="007F5C7C" w:rsidP="008F75EA">
      <w:pPr>
        <w:jc w:val="both"/>
        <w:rPr>
          <w:lang w:val="en-GB"/>
        </w:rPr>
      </w:pPr>
    </w:p>
    <w:p w:rsidR="00354D20" w:rsidRDefault="00354D20" w:rsidP="008F75EA">
      <w:pPr>
        <w:jc w:val="both"/>
        <w:rPr>
          <w:lang w:val="en-GB"/>
        </w:rPr>
      </w:pPr>
    </w:p>
    <w:p w:rsidR="00354D20" w:rsidRDefault="00354D20" w:rsidP="008F75EA">
      <w:pPr>
        <w:jc w:val="both"/>
        <w:rPr>
          <w:lang w:val="en-GB"/>
        </w:rPr>
      </w:pPr>
      <w:r>
        <w:rPr>
          <w:lang w:val="en-GB"/>
        </w:rPr>
        <w:t>Required:</w:t>
      </w:r>
    </w:p>
    <w:p w:rsidR="00354D20" w:rsidRDefault="00354D20" w:rsidP="00354D20">
      <w:pPr>
        <w:pStyle w:val="Sarakstarindkopa"/>
        <w:numPr>
          <w:ilvl w:val="0"/>
          <w:numId w:val="5"/>
        </w:numPr>
        <w:jc w:val="both"/>
        <w:rPr>
          <w:lang w:val="en-GB"/>
        </w:rPr>
      </w:pPr>
      <w:r>
        <w:rPr>
          <w:lang w:val="en-GB"/>
        </w:rPr>
        <w:t>Complete the aging analysis of accounts receivable</w:t>
      </w:r>
    </w:p>
    <w:p w:rsidR="00354D20" w:rsidRDefault="00354D20" w:rsidP="00354D20">
      <w:pPr>
        <w:pStyle w:val="Sarakstarindkopa"/>
        <w:numPr>
          <w:ilvl w:val="0"/>
          <w:numId w:val="5"/>
        </w:numPr>
        <w:jc w:val="both"/>
        <w:rPr>
          <w:lang w:val="en-GB"/>
        </w:rPr>
      </w:pPr>
      <w:r>
        <w:rPr>
          <w:lang w:val="en-GB"/>
        </w:rPr>
        <w:t>Compute the end- of- year balances of A/R and Allowance for Uncollectible Accounts.</w:t>
      </w:r>
    </w:p>
    <w:sectPr w:rsidR="00354D2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7D2" w:rsidRDefault="000D37D2" w:rsidP="000D5D7A">
      <w:r>
        <w:separator/>
      </w:r>
    </w:p>
  </w:endnote>
  <w:endnote w:type="continuationSeparator" w:id="0">
    <w:p w:rsidR="000D37D2" w:rsidRDefault="000D37D2" w:rsidP="000D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D7A" w:rsidRDefault="000D5D7A">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43692"/>
      <w:docPartObj>
        <w:docPartGallery w:val="Page Numbers (Bottom of Page)"/>
        <w:docPartUnique/>
      </w:docPartObj>
    </w:sdtPr>
    <w:sdtContent>
      <w:p w:rsidR="000D5D7A" w:rsidRDefault="000D5D7A">
        <w:pPr>
          <w:pStyle w:val="Kjene"/>
          <w:jc w:val="right"/>
        </w:pPr>
        <w:r>
          <w:fldChar w:fldCharType="begin"/>
        </w:r>
        <w:r>
          <w:instrText>PAGE   \* MERGEFORMAT</w:instrText>
        </w:r>
        <w:r>
          <w:fldChar w:fldCharType="separate"/>
        </w:r>
        <w:r>
          <w:rPr>
            <w:noProof/>
          </w:rPr>
          <w:t>3</w:t>
        </w:r>
        <w:r>
          <w:fldChar w:fldCharType="end"/>
        </w:r>
      </w:p>
      <w:bookmarkStart w:id="0" w:name="_GoBack" w:displacedByCustomXml="next"/>
      <w:bookmarkEnd w:id="0" w:displacedByCustomXml="next"/>
    </w:sdtContent>
  </w:sdt>
  <w:p w:rsidR="000D5D7A" w:rsidRDefault="000D5D7A">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D7A" w:rsidRDefault="000D5D7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7D2" w:rsidRDefault="000D37D2" w:rsidP="000D5D7A">
      <w:r>
        <w:separator/>
      </w:r>
    </w:p>
  </w:footnote>
  <w:footnote w:type="continuationSeparator" w:id="0">
    <w:p w:rsidR="000D37D2" w:rsidRDefault="000D37D2" w:rsidP="000D5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D7A" w:rsidRDefault="000D5D7A">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D7A" w:rsidRDefault="000D5D7A">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D7A" w:rsidRDefault="000D5D7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97632"/>
    <w:multiLevelType w:val="hybridMultilevel"/>
    <w:tmpl w:val="83F035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48EB1AE8"/>
    <w:multiLevelType w:val="hybridMultilevel"/>
    <w:tmpl w:val="D40665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57A63CC4"/>
    <w:multiLevelType w:val="hybridMultilevel"/>
    <w:tmpl w:val="D7DCAE0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5AAD5D5C"/>
    <w:multiLevelType w:val="hybridMultilevel"/>
    <w:tmpl w:val="957C1F7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75366D97"/>
    <w:multiLevelType w:val="hybridMultilevel"/>
    <w:tmpl w:val="5352D7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3A9"/>
    <w:rsid w:val="000D37D2"/>
    <w:rsid w:val="000D5D7A"/>
    <w:rsid w:val="00354D20"/>
    <w:rsid w:val="00394A68"/>
    <w:rsid w:val="00430A49"/>
    <w:rsid w:val="00543F8E"/>
    <w:rsid w:val="0066400A"/>
    <w:rsid w:val="007171E5"/>
    <w:rsid w:val="007F5C7C"/>
    <w:rsid w:val="00800DA2"/>
    <w:rsid w:val="008F75EA"/>
    <w:rsid w:val="00982FA5"/>
    <w:rsid w:val="00BA03A9"/>
    <w:rsid w:val="00C545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F75EA"/>
    <w:pPr>
      <w:ind w:left="720"/>
      <w:contextualSpacing/>
    </w:pPr>
  </w:style>
  <w:style w:type="table" w:styleId="Reatabula">
    <w:name w:val="Table Grid"/>
    <w:basedOn w:val="Parastatabula"/>
    <w:uiPriority w:val="59"/>
    <w:rsid w:val="00664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D5D7A"/>
    <w:pPr>
      <w:tabs>
        <w:tab w:val="center" w:pos="4153"/>
        <w:tab w:val="right" w:pos="8306"/>
      </w:tabs>
    </w:pPr>
  </w:style>
  <w:style w:type="character" w:customStyle="1" w:styleId="GalveneRakstz">
    <w:name w:val="Galvene Rakstz."/>
    <w:basedOn w:val="Noklusjumarindkopasfonts"/>
    <w:link w:val="Galvene"/>
    <w:uiPriority w:val="99"/>
    <w:rsid w:val="000D5D7A"/>
    <w:rPr>
      <w:sz w:val="24"/>
      <w:szCs w:val="24"/>
    </w:rPr>
  </w:style>
  <w:style w:type="paragraph" w:styleId="Kjene">
    <w:name w:val="footer"/>
    <w:basedOn w:val="Parasts"/>
    <w:link w:val="KjeneRakstz"/>
    <w:uiPriority w:val="99"/>
    <w:unhideWhenUsed/>
    <w:rsid w:val="000D5D7A"/>
    <w:pPr>
      <w:tabs>
        <w:tab w:val="center" w:pos="4153"/>
        <w:tab w:val="right" w:pos="8306"/>
      </w:tabs>
    </w:pPr>
  </w:style>
  <w:style w:type="character" w:customStyle="1" w:styleId="KjeneRakstz">
    <w:name w:val="Kājene Rakstz."/>
    <w:basedOn w:val="Noklusjumarindkopasfonts"/>
    <w:link w:val="Kjene"/>
    <w:uiPriority w:val="99"/>
    <w:rsid w:val="000D5D7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F75EA"/>
    <w:pPr>
      <w:ind w:left="720"/>
      <w:contextualSpacing/>
    </w:pPr>
  </w:style>
  <w:style w:type="table" w:styleId="Reatabula">
    <w:name w:val="Table Grid"/>
    <w:basedOn w:val="Parastatabula"/>
    <w:uiPriority w:val="59"/>
    <w:rsid w:val="00664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D5D7A"/>
    <w:pPr>
      <w:tabs>
        <w:tab w:val="center" w:pos="4153"/>
        <w:tab w:val="right" w:pos="8306"/>
      </w:tabs>
    </w:pPr>
  </w:style>
  <w:style w:type="character" w:customStyle="1" w:styleId="GalveneRakstz">
    <w:name w:val="Galvene Rakstz."/>
    <w:basedOn w:val="Noklusjumarindkopasfonts"/>
    <w:link w:val="Galvene"/>
    <w:uiPriority w:val="99"/>
    <w:rsid w:val="000D5D7A"/>
    <w:rPr>
      <w:sz w:val="24"/>
      <w:szCs w:val="24"/>
    </w:rPr>
  </w:style>
  <w:style w:type="paragraph" w:styleId="Kjene">
    <w:name w:val="footer"/>
    <w:basedOn w:val="Parasts"/>
    <w:link w:val="KjeneRakstz"/>
    <w:uiPriority w:val="99"/>
    <w:unhideWhenUsed/>
    <w:rsid w:val="000D5D7A"/>
    <w:pPr>
      <w:tabs>
        <w:tab w:val="center" w:pos="4153"/>
        <w:tab w:val="right" w:pos="8306"/>
      </w:tabs>
    </w:pPr>
  </w:style>
  <w:style w:type="character" w:customStyle="1" w:styleId="KjeneRakstz">
    <w:name w:val="Kājene Rakstz."/>
    <w:basedOn w:val="Noklusjumarindkopasfonts"/>
    <w:link w:val="Kjene"/>
    <w:uiPriority w:val="99"/>
    <w:rsid w:val="000D5D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A5C9108C</Template>
  <TotalTime>117</TotalTime>
  <Pages>3</Pages>
  <Words>2688</Words>
  <Characters>1533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Banku augstskola</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 Innuse</dc:creator>
  <cp:lastModifiedBy>Gunta Innuse</cp:lastModifiedBy>
  <cp:revision>3</cp:revision>
  <dcterms:created xsi:type="dcterms:W3CDTF">2015-02-24T15:28:00Z</dcterms:created>
  <dcterms:modified xsi:type="dcterms:W3CDTF">2015-02-24T17:25:00Z</dcterms:modified>
</cp:coreProperties>
</file>