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96" w:rsidRPr="00DD6A30" w:rsidRDefault="00F4448A" w:rsidP="007A2A96">
      <w:pPr>
        <w:rPr>
          <w:b/>
          <w:bCs/>
        </w:rPr>
      </w:pPr>
      <w:proofErr w:type="gramStart"/>
      <w:r>
        <w:rPr>
          <w:b/>
          <w:bCs/>
        </w:rPr>
        <w:t>we</w:t>
      </w:r>
      <w:r w:rsidR="007A2A96" w:rsidRPr="00DD6A30">
        <w:rPr>
          <w:b/>
          <w:bCs/>
        </w:rPr>
        <w:t>ek</w:t>
      </w:r>
      <w:bookmarkStart w:id="0" w:name="_GoBack"/>
      <w:bookmarkEnd w:id="0"/>
      <w:proofErr w:type="gramEnd"/>
      <w:r w:rsidR="007A2A96" w:rsidRPr="00DD6A30">
        <w:rPr>
          <w:b/>
          <w:bCs/>
        </w:rPr>
        <w:t xml:space="preserve"> 7 Problem Set</w:t>
      </w:r>
    </w:p>
    <w:p w:rsidR="007A2A96" w:rsidRPr="00DD6A30" w:rsidRDefault="006345F7" w:rsidP="007A2A96">
      <w:pPr>
        <w:rPr>
          <w:b/>
          <w:bCs/>
        </w:rPr>
      </w:pPr>
      <w:r>
        <w:rPr>
          <w:b/>
          <w:bCs/>
        </w:rPr>
        <w:t xml:space="preserve">For those items requiring calculations, full credit will only be granted if all necessary work is shown. </w:t>
      </w:r>
    </w:p>
    <w:p w:rsidR="007A48F7" w:rsidRPr="00DD6A30" w:rsidRDefault="007A48F7" w:rsidP="007A2A96">
      <w:pPr>
        <w:spacing w:after="0" w:line="360" w:lineRule="atLeast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>1</w:t>
      </w:r>
      <w:r w:rsidR="007A2A96"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 xml:space="preserve">. </w:t>
      </w:r>
      <w:r w:rsidRPr="00DD6A30">
        <w:rPr>
          <w:rFonts w:eastAsia="Times New Roman" w:cs="Times New Roman"/>
          <w:color w:val="000000"/>
        </w:rPr>
        <w:t>Answer the following questions:</w:t>
      </w:r>
    </w:p>
    <w:p w:rsidR="007A48F7" w:rsidRPr="00DD6A30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a.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What is the difference between a firm’s cash cycle and its operating cycle?</w:t>
      </w:r>
    </w:p>
    <w:p w:rsidR="007A48F7" w:rsidRPr="00DD6A30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b.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How will a firm’s cash cycle be affected if a firm increase</w:t>
      </w:r>
      <w:r w:rsidR="007A2A96" w:rsidRPr="00DD6A30">
        <w:rPr>
          <w:rFonts w:eastAsia="Times New Roman" w:cs="Times New Roman"/>
          <w:color w:val="000000"/>
          <w:bdr w:val="none" w:sz="0" w:space="0" w:color="auto" w:frame="1"/>
        </w:rPr>
        <w:t xml:space="preserve">s its inventory, all else being 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equal?</w:t>
      </w:r>
    </w:p>
    <w:p w:rsidR="007A48F7" w:rsidRPr="00DD6A30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  <w:bdr w:val="none" w:sz="0" w:space="0" w:color="auto" w:frame="1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c.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How will a firm’s cash cycle be affected if a firm begins to take the discounts offered by its suppliers, all else being equal?</w:t>
      </w:r>
    </w:p>
    <w:p w:rsidR="007A2A96" w:rsidRPr="00F4448A" w:rsidRDefault="007A2A96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  <w:sz w:val="16"/>
          <w:szCs w:val="16"/>
        </w:rPr>
      </w:pPr>
    </w:p>
    <w:p w:rsidR="007A48F7" w:rsidRPr="00DD6A30" w:rsidRDefault="007A48F7" w:rsidP="007A2A96">
      <w:pPr>
        <w:spacing w:after="0" w:line="360" w:lineRule="atLeast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 </w:t>
      </w:r>
      <w:r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>4.</w:t>
      </w:r>
      <w:r w:rsidR="007A2A96"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 xml:space="preserve"> </w:t>
      </w:r>
      <w:r w:rsidRPr="00DD6A30">
        <w:rPr>
          <w:rFonts w:eastAsia="Times New Roman" w:cs="Times New Roman"/>
          <w:color w:val="000000"/>
        </w:rPr>
        <w:t>The Greek Connection had sales of $32 million in 2012, and a cost of goods sold of $20 million. A simplified balance sheet for the firm appears below:</w:t>
      </w:r>
    </w:p>
    <w:p w:rsidR="007A2A96" w:rsidRPr="00DD6A30" w:rsidRDefault="007A2A96" w:rsidP="007A2A96">
      <w:pPr>
        <w:spacing w:after="0" w:line="360" w:lineRule="atLeast"/>
        <w:textAlignment w:val="baseline"/>
        <w:rPr>
          <w:rFonts w:eastAsia="Times New Roman" w:cs="Times New Roman"/>
          <w:color w:val="000000"/>
        </w:rPr>
      </w:pPr>
    </w:p>
    <w:tbl>
      <w:tblPr>
        <w:tblW w:w="7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081"/>
        <w:gridCol w:w="3021"/>
        <w:gridCol w:w="1081"/>
      </w:tblGrid>
      <w:tr w:rsidR="007A48F7" w:rsidRPr="00DD6A30" w:rsidTr="007A2A96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  <w:b/>
                <w:bCs/>
                <w:bdr w:val="none" w:sz="0" w:space="0" w:color="auto" w:frame="1"/>
              </w:rPr>
              <w:t>THE GREEK CONNECTION</w:t>
            </w:r>
          </w:p>
          <w:p w:rsidR="007A48F7" w:rsidRPr="00DD6A30" w:rsidRDefault="007A48F7" w:rsidP="007A48F7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  <w:b/>
                <w:bCs/>
                <w:bdr w:val="none" w:sz="0" w:space="0" w:color="auto" w:frame="1"/>
              </w:rPr>
              <w:t>Balance Sheet</w:t>
            </w:r>
          </w:p>
          <w:p w:rsidR="007A48F7" w:rsidRDefault="007A48F7" w:rsidP="007A48F7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bdr w:val="none" w:sz="0" w:space="0" w:color="auto" w:frame="1"/>
              </w:rPr>
            </w:pPr>
            <w:r w:rsidRPr="00DD6A30">
              <w:rPr>
                <w:rFonts w:eastAsia="Times New Roman" w:cs="Times New Roman"/>
                <w:b/>
                <w:bCs/>
                <w:bdr w:val="none" w:sz="0" w:space="0" w:color="auto" w:frame="1"/>
              </w:rPr>
              <w:t>As of December 31, 2012 (in $ thousand)</w:t>
            </w:r>
          </w:p>
          <w:p w:rsidR="00627947" w:rsidRPr="00DD6A30" w:rsidRDefault="00627947" w:rsidP="007A48F7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</w:p>
        </w:tc>
      </w:tr>
      <w:tr w:rsidR="007A48F7" w:rsidRPr="00DD6A30" w:rsidTr="007A2A96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  <w:b/>
                <w:bCs/>
                <w:bdr w:val="none" w:sz="0" w:space="0" w:color="auto" w:frame="1"/>
              </w:rPr>
              <w:t>Assets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  <w:b/>
                <w:bCs/>
                <w:bdr w:val="none" w:sz="0" w:space="0" w:color="auto" w:frame="1"/>
              </w:rPr>
              <w:t>Liabilities and Equity</w:t>
            </w:r>
          </w:p>
        </w:tc>
      </w:tr>
      <w:tr w:rsidR="007A48F7" w:rsidRPr="00DD6A30" w:rsidTr="007A2A9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Cash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Accounts receivable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$ 2,000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3,950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1,300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Accounts payable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Notes payable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Accruals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$ 1,500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1,000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1,220</w:t>
            </w:r>
          </w:p>
        </w:tc>
      </w:tr>
      <w:tr w:rsidR="007A48F7" w:rsidRPr="00DD6A30" w:rsidTr="007A2A9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Total current assets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  7,250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Total current liabilities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Long-term 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  3,720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3,000</w:t>
            </w:r>
          </w:p>
        </w:tc>
      </w:tr>
      <w:tr w:rsidR="007A48F7" w:rsidRPr="00DD6A30" w:rsidTr="007A2A9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Net plant, property,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and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  8,500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Total liabilities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Common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  6,720</w:t>
            </w:r>
          </w:p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  9,030</w:t>
            </w:r>
          </w:p>
        </w:tc>
      </w:tr>
      <w:tr w:rsidR="007A48F7" w:rsidRPr="00DD6A30" w:rsidTr="007A2A9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Total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$ 15,750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Total liabilities and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E8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7A48F7" w:rsidRPr="00DD6A30" w:rsidRDefault="007A48F7" w:rsidP="007A48F7">
            <w:pPr>
              <w:spacing w:after="180" w:line="240" w:lineRule="auto"/>
              <w:textAlignment w:val="baseline"/>
              <w:rPr>
                <w:rFonts w:eastAsia="Times New Roman" w:cs="Times New Roman"/>
              </w:rPr>
            </w:pPr>
            <w:r w:rsidRPr="00DD6A30">
              <w:rPr>
                <w:rFonts w:eastAsia="Times New Roman" w:cs="Times New Roman"/>
              </w:rPr>
              <w:t>$ 15,750</w:t>
            </w:r>
          </w:p>
        </w:tc>
      </w:tr>
    </w:tbl>
    <w:p w:rsidR="007A48F7" w:rsidRPr="00DD6A30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a.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Calculate The Greek Connection’s net working capital in 2012.</w:t>
      </w:r>
    </w:p>
    <w:p w:rsidR="007A48F7" w:rsidRPr="00DD6A30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b.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>Calculate the cash conversion cycle of The Greek Connection in 2012.</w:t>
      </w:r>
    </w:p>
    <w:p w:rsidR="007A48F7" w:rsidRDefault="007A48F7" w:rsidP="007A2A96">
      <w:pPr>
        <w:spacing w:after="0" w:line="360" w:lineRule="atLeast"/>
        <w:ind w:left="300"/>
        <w:textAlignment w:val="baseline"/>
        <w:rPr>
          <w:rFonts w:eastAsia="Times New Roman" w:cs="Times New Roman"/>
          <w:color w:val="000000"/>
          <w:bdr w:val="none" w:sz="0" w:space="0" w:color="auto" w:frame="1"/>
        </w:rPr>
      </w:pPr>
      <w:r w:rsidRPr="00DD6A30">
        <w:rPr>
          <w:rFonts w:eastAsia="Times New Roman" w:cs="Times New Roman"/>
          <w:color w:val="000000"/>
          <w:bdr w:val="none" w:sz="0" w:space="0" w:color="auto" w:frame="1"/>
        </w:rPr>
        <w:t>c.</w:t>
      </w:r>
      <w:r w:rsidRPr="00DD6A30">
        <w:rPr>
          <w:rFonts w:eastAsia="Times New Roman" w:cs="Times New Roman"/>
          <w:color w:val="000000"/>
        </w:rPr>
        <w:t> 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 xml:space="preserve">The industry average accounts receivable days is 30 days. What would the cash conversion cycle for The Greek Connection have been in 2012 </w:t>
      </w:r>
      <w:r w:rsidR="00627947">
        <w:rPr>
          <w:rFonts w:eastAsia="Times New Roman" w:cs="Times New Roman"/>
          <w:color w:val="000000"/>
          <w:bdr w:val="none" w:sz="0" w:space="0" w:color="auto" w:frame="1"/>
        </w:rPr>
        <w:t>if it had</w:t>
      </w:r>
      <w:r w:rsidRPr="00DD6A30">
        <w:rPr>
          <w:rFonts w:eastAsia="Times New Roman" w:cs="Times New Roman"/>
          <w:color w:val="000000"/>
          <w:bdr w:val="none" w:sz="0" w:space="0" w:color="auto" w:frame="1"/>
        </w:rPr>
        <w:t xml:space="preserve"> matched the industry average for accounts receivable days?</w:t>
      </w:r>
    </w:p>
    <w:p w:rsidR="007A48F7" w:rsidRDefault="007A48F7" w:rsidP="007A2A96">
      <w:pPr>
        <w:spacing w:after="0" w:line="360" w:lineRule="atLeast"/>
        <w:textAlignment w:val="baseline"/>
        <w:rPr>
          <w:rFonts w:eastAsia="Times New Roman" w:cs="Times New Roman"/>
          <w:color w:val="000000"/>
        </w:rPr>
      </w:pPr>
      <w:r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>5.</w:t>
      </w:r>
      <w:r w:rsidR="007A2A96" w:rsidRPr="00DD6A30">
        <w:rPr>
          <w:rFonts w:eastAsia="Times New Roman" w:cs="Times New Roman"/>
          <w:b/>
          <w:bCs/>
          <w:color w:val="8593B8"/>
          <w:bdr w:val="none" w:sz="0" w:space="0" w:color="auto" w:frame="1"/>
        </w:rPr>
        <w:t xml:space="preserve"> </w:t>
      </w:r>
      <w:r w:rsidRPr="00DD6A30">
        <w:rPr>
          <w:rFonts w:eastAsia="Times New Roman" w:cs="Times New Roman"/>
          <w:color w:val="000000"/>
        </w:rPr>
        <w:t>Assume the credit terms offered to your firm by your suppliers are 3/5, Net 30. Calculate the cost of the trade credit if your firm does not take the discount and pays on day 30.</w:t>
      </w:r>
      <w:r w:rsidR="00120489">
        <w:rPr>
          <w:rFonts w:eastAsia="Times New Roman" w:cs="Times New Roman"/>
          <w:color w:val="000000"/>
        </w:rPr>
        <w:t xml:space="preserve">  Calculate both the </w:t>
      </w:r>
      <w:r w:rsidR="00120489" w:rsidRPr="00905298">
        <w:rPr>
          <w:rFonts w:eastAsia="Times New Roman" w:cs="Times New Roman"/>
          <w:b/>
          <w:color w:val="000000"/>
        </w:rPr>
        <w:t>nominal and the effective</w:t>
      </w:r>
      <w:r w:rsidR="00120489">
        <w:rPr>
          <w:rFonts w:eastAsia="Times New Roman" w:cs="Times New Roman"/>
          <w:color w:val="000000"/>
        </w:rPr>
        <w:t xml:space="preserve"> cost of trade credit. </w:t>
      </w:r>
    </w:p>
    <w:p w:rsidR="007A48F7" w:rsidRPr="00DD6A30" w:rsidRDefault="00905298" w:rsidP="00905298">
      <w:pPr>
        <w:spacing w:after="180" w:line="360" w:lineRule="atLeast"/>
        <w:textAlignment w:val="baseline"/>
        <w:rPr>
          <w:rFonts w:eastAsia="Times New Roman" w:cs="Times New Roman"/>
          <w:color w:val="000000"/>
        </w:rPr>
      </w:pPr>
      <w:r w:rsidRPr="00905298">
        <w:rPr>
          <w:rFonts w:eastAsia="Times New Roman" w:cs="Times New Roman"/>
          <w:color w:val="000000"/>
        </w:rPr>
        <w:t xml:space="preserve"> 6.   Your supplier offers terms of 1/10, Net 45. What is the</w:t>
      </w:r>
      <w:r>
        <w:rPr>
          <w:rFonts w:eastAsia="Times New Roman" w:cs="Times New Roman"/>
          <w:color w:val="000000"/>
        </w:rPr>
        <w:t xml:space="preserve"> </w:t>
      </w:r>
      <w:r w:rsidRPr="00905298">
        <w:rPr>
          <w:rFonts w:eastAsia="Times New Roman" w:cs="Times New Roman"/>
          <w:b/>
          <w:color w:val="000000"/>
        </w:rPr>
        <w:t xml:space="preserve">nominal, and the effective </w:t>
      </w:r>
      <w:r w:rsidRPr="00905298">
        <w:rPr>
          <w:rFonts w:eastAsia="Times New Roman" w:cs="Times New Roman"/>
          <w:color w:val="000000"/>
        </w:rPr>
        <w:t>annual cost of trade credit if you choose to forgo the discount and pay on day 45?</w:t>
      </w:r>
    </w:p>
    <w:sectPr w:rsidR="007A48F7" w:rsidRPr="00DD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2C8E"/>
    <w:multiLevelType w:val="multilevel"/>
    <w:tmpl w:val="DB8A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E5480"/>
    <w:multiLevelType w:val="multilevel"/>
    <w:tmpl w:val="E36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F5EE8"/>
    <w:multiLevelType w:val="multilevel"/>
    <w:tmpl w:val="6824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56A92F-9C98-4F18-87C3-0776AB9843BB}"/>
    <w:docVar w:name="dgnword-eventsink" w:val="144396080"/>
  </w:docVars>
  <w:rsids>
    <w:rsidRoot w:val="007A48F7"/>
    <w:rsid w:val="00120489"/>
    <w:rsid w:val="002E5DB5"/>
    <w:rsid w:val="004B649C"/>
    <w:rsid w:val="00627947"/>
    <w:rsid w:val="006345F7"/>
    <w:rsid w:val="00690A7C"/>
    <w:rsid w:val="007A2A96"/>
    <w:rsid w:val="007A48F7"/>
    <w:rsid w:val="00821C01"/>
    <w:rsid w:val="00905298"/>
    <w:rsid w:val="00DD6A30"/>
    <w:rsid w:val="00ED1D20"/>
    <w:rsid w:val="00F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7A48F7"/>
  </w:style>
  <w:style w:type="character" w:customStyle="1" w:styleId="tc">
    <w:name w:val="tc"/>
    <w:basedOn w:val="DefaultParagraphFont"/>
    <w:rsid w:val="007A48F7"/>
  </w:style>
  <w:style w:type="paragraph" w:styleId="NormalWeb">
    <w:name w:val="Normal (Web)"/>
    <w:basedOn w:val="Normal"/>
    <w:uiPriority w:val="99"/>
    <w:semiHidden/>
    <w:unhideWhenUsed/>
    <w:rsid w:val="007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48F7"/>
  </w:style>
  <w:style w:type="character" w:customStyle="1" w:styleId="item">
    <w:name w:val="item"/>
    <w:basedOn w:val="DefaultParagraphFont"/>
    <w:rsid w:val="007A4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7A48F7"/>
  </w:style>
  <w:style w:type="character" w:customStyle="1" w:styleId="tc">
    <w:name w:val="tc"/>
    <w:basedOn w:val="DefaultParagraphFont"/>
    <w:rsid w:val="007A48F7"/>
  </w:style>
  <w:style w:type="paragraph" w:styleId="NormalWeb">
    <w:name w:val="Normal (Web)"/>
    <w:basedOn w:val="Normal"/>
    <w:uiPriority w:val="99"/>
    <w:semiHidden/>
    <w:unhideWhenUsed/>
    <w:rsid w:val="007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48F7"/>
  </w:style>
  <w:style w:type="character" w:customStyle="1" w:styleId="item">
    <w:name w:val="item"/>
    <w:basedOn w:val="DefaultParagraphFont"/>
    <w:rsid w:val="007A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Steinkruger</dc:creator>
  <cp:lastModifiedBy>John</cp:lastModifiedBy>
  <cp:revision>2</cp:revision>
  <dcterms:created xsi:type="dcterms:W3CDTF">2014-12-08T20:51:00Z</dcterms:created>
  <dcterms:modified xsi:type="dcterms:W3CDTF">2014-12-08T20:51:00Z</dcterms:modified>
</cp:coreProperties>
</file>