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C8" w:rsidRDefault="00BD5CC8" w:rsidP="00DA23DA">
      <w:pPr>
        <w:jc w:val="center"/>
        <w:rPr>
          <w:b/>
          <w:bCs/>
          <w:sz w:val="24"/>
        </w:rPr>
      </w:pPr>
      <w:r>
        <w:rPr>
          <w:b/>
          <w:bCs/>
          <w:sz w:val="24"/>
        </w:rPr>
        <w:t>ACCOUNTING 2302</w:t>
      </w:r>
    </w:p>
    <w:p w:rsidR="00DA23DA" w:rsidRDefault="00C7213A" w:rsidP="00DA23DA">
      <w:pPr>
        <w:jc w:val="center"/>
        <w:rPr>
          <w:b/>
          <w:bCs/>
          <w:sz w:val="24"/>
        </w:rPr>
      </w:pPr>
      <w:r>
        <w:rPr>
          <w:b/>
          <w:bCs/>
          <w:sz w:val="24"/>
        </w:rPr>
        <w:t>Spring 20</w:t>
      </w:r>
      <w:r w:rsidR="00162754">
        <w:rPr>
          <w:b/>
          <w:bCs/>
          <w:sz w:val="24"/>
        </w:rPr>
        <w:t>16</w:t>
      </w:r>
    </w:p>
    <w:p w:rsidR="00BD5CC8" w:rsidRDefault="00BD5CC8" w:rsidP="00DA23DA">
      <w:pPr>
        <w:jc w:val="center"/>
        <w:rPr>
          <w:b/>
          <w:bCs/>
          <w:sz w:val="24"/>
        </w:rPr>
      </w:pPr>
      <w:r>
        <w:rPr>
          <w:b/>
          <w:bCs/>
          <w:sz w:val="24"/>
        </w:rPr>
        <w:t>BUDGET PROJECT</w:t>
      </w:r>
    </w:p>
    <w:p w:rsidR="00BD5CC8" w:rsidRDefault="00BD5CC8">
      <w:pPr>
        <w:rPr>
          <w:b/>
          <w:bCs/>
          <w:sz w:val="24"/>
        </w:rPr>
      </w:pPr>
    </w:p>
    <w:p w:rsidR="00BD5CC8" w:rsidRDefault="00BD5CC8">
      <w:pPr>
        <w:rPr>
          <w:sz w:val="24"/>
        </w:rPr>
      </w:pPr>
      <w:r>
        <w:rPr>
          <w:b/>
          <w:bCs/>
          <w:sz w:val="24"/>
        </w:rPr>
        <w:t xml:space="preserve">Objective:  </w:t>
      </w:r>
      <w:r>
        <w:rPr>
          <w:sz w:val="24"/>
        </w:rPr>
        <w:t xml:space="preserve">To understand and apply the basic concepts of </w:t>
      </w:r>
      <w:r w:rsidR="00162754">
        <w:rPr>
          <w:sz w:val="24"/>
        </w:rPr>
        <w:t>budget</w:t>
      </w:r>
      <w:r w:rsidR="00147FE2">
        <w:rPr>
          <w:sz w:val="24"/>
        </w:rPr>
        <w:t xml:space="preserve"> </w:t>
      </w:r>
      <w:r>
        <w:rPr>
          <w:sz w:val="24"/>
        </w:rPr>
        <w:t xml:space="preserve">planning.  </w:t>
      </w:r>
    </w:p>
    <w:p w:rsidR="00BD5CC8" w:rsidRDefault="00BD5CC8">
      <w:pPr>
        <w:rPr>
          <w:sz w:val="24"/>
        </w:rPr>
      </w:pPr>
    </w:p>
    <w:p w:rsidR="00266A04" w:rsidRDefault="00BD5CC8" w:rsidP="00266A04">
      <w:pPr>
        <w:rPr>
          <w:sz w:val="24"/>
        </w:rPr>
      </w:pPr>
      <w:r w:rsidRPr="00266A04">
        <w:rPr>
          <w:b/>
          <w:sz w:val="24"/>
          <w:szCs w:val="24"/>
        </w:rPr>
        <w:t>Due date:</w:t>
      </w:r>
      <w:r>
        <w:t xml:space="preserve">  </w:t>
      </w:r>
      <w:r w:rsidR="008A2CE3">
        <w:rPr>
          <w:sz w:val="24"/>
        </w:rPr>
        <w:t>Tuesday</w:t>
      </w:r>
      <w:r w:rsidR="00162754">
        <w:rPr>
          <w:sz w:val="24"/>
        </w:rPr>
        <w:t>, May 10, 5</w:t>
      </w:r>
      <w:r w:rsidR="00266A04">
        <w:rPr>
          <w:sz w:val="24"/>
        </w:rPr>
        <w:t>:</w:t>
      </w:r>
      <w:r w:rsidR="00162754">
        <w:rPr>
          <w:sz w:val="24"/>
        </w:rPr>
        <w:t>3</w:t>
      </w:r>
      <w:r w:rsidR="008A2CE3">
        <w:rPr>
          <w:sz w:val="24"/>
        </w:rPr>
        <w:t>0</w:t>
      </w:r>
      <w:r w:rsidR="00266A04">
        <w:rPr>
          <w:sz w:val="24"/>
        </w:rPr>
        <w:t xml:space="preserve"> pm. (Submit the assignment in blackboard.)</w:t>
      </w:r>
    </w:p>
    <w:p w:rsidR="00266A04" w:rsidRPr="00F3131B" w:rsidRDefault="00266A04" w:rsidP="00266A04">
      <w:pPr>
        <w:pStyle w:val="Heading1"/>
        <w:rPr>
          <w:b w:val="0"/>
        </w:rPr>
      </w:pPr>
      <w:r w:rsidRPr="00AB3875">
        <w:t xml:space="preserve">Late submissions will be penalized </w:t>
      </w:r>
      <w:r w:rsidR="00467B7D">
        <w:t>25%</w:t>
      </w:r>
      <w:r>
        <w:t xml:space="preserve"> </w:t>
      </w:r>
      <w:r>
        <w:rPr>
          <w:b w:val="0"/>
        </w:rPr>
        <w:t>and will be ac</w:t>
      </w:r>
      <w:r w:rsidR="00B6051F">
        <w:rPr>
          <w:b w:val="0"/>
        </w:rPr>
        <w:t xml:space="preserve">cepted no later than </w:t>
      </w:r>
      <w:r w:rsidR="00467B7D">
        <w:rPr>
          <w:b w:val="0"/>
        </w:rPr>
        <w:t>May 12</w:t>
      </w:r>
      <w:r w:rsidR="00162754">
        <w:rPr>
          <w:b w:val="0"/>
        </w:rPr>
        <w:t>th</w:t>
      </w:r>
      <w:r w:rsidR="00467B7D">
        <w:rPr>
          <w:b w:val="0"/>
        </w:rPr>
        <w:t>, 10</w:t>
      </w:r>
      <w:r>
        <w:rPr>
          <w:b w:val="0"/>
        </w:rPr>
        <w:t>:</w:t>
      </w:r>
      <w:r w:rsidR="00B6051F">
        <w:rPr>
          <w:b w:val="0"/>
        </w:rPr>
        <w:t>00</w:t>
      </w:r>
      <w:r>
        <w:rPr>
          <w:b w:val="0"/>
        </w:rPr>
        <w:t xml:space="preserve"> pm</w:t>
      </w:r>
    </w:p>
    <w:p w:rsidR="00BD5CC8" w:rsidRDefault="00BD5CC8">
      <w:pPr>
        <w:rPr>
          <w:b/>
          <w:bCs/>
          <w:sz w:val="24"/>
        </w:rPr>
      </w:pPr>
    </w:p>
    <w:p w:rsidR="00BD5CC8" w:rsidRDefault="00BD5CC8">
      <w:pPr>
        <w:rPr>
          <w:sz w:val="24"/>
        </w:rPr>
      </w:pPr>
      <w:r>
        <w:rPr>
          <w:b/>
          <w:bCs/>
          <w:sz w:val="24"/>
        </w:rPr>
        <w:t xml:space="preserve">Grading:  </w:t>
      </w:r>
      <w:r>
        <w:rPr>
          <w:sz w:val="24"/>
        </w:rPr>
        <w:t>This project is worth</w:t>
      </w:r>
      <w:r w:rsidR="00AB3875">
        <w:rPr>
          <w:sz w:val="24"/>
        </w:rPr>
        <w:t xml:space="preserve"> </w:t>
      </w:r>
      <w:r w:rsidR="00A94EBB">
        <w:rPr>
          <w:sz w:val="24"/>
        </w:rPr>
        <w:t>4</w:t>
      </w:r>
      <w:r w:rsidR="00C7213A">
        <w:rPr>
          <w:sz w:val="24"/>
        </w:rPr>
        <w:t>0</w:t>
      </w:r>
      <w:r w:rsidR="00AB3875">
        <w:rPr>
          <w:sz w:val="24"/>
        </w:rPr>
        <w:t xml:space="preserve"> points</w:t>
      </w:r>
      <w:r>
        <w:rPr>
          <w:sz w:val="24"/>
        </w:rPr>
        <w:t xml:space="preserve">.  </w:t>
      </w:r>
    </w:p>
    <w:p w:rsidR="00BD5CC8" w:rsidRDefault="00BD5CC8">
      <w:pPr>
        <w:rPr>
          <w:sz w:val="24"/>
        </w:rPr>
      </w:pPr>
    </w:p>
    <w:p w:rsidR="003C74F6" w:rsidRDefault="00BD5CC8">
      <w:pPr>
        <w:rPr>
          <w:sz w:val="24"/>
        </w:rPr>
      </w:pPr>
      <w:r>
        <w:rPr>
          <w:b/>
          <w:bCs/>
          <w:sz w:val="24"/>
        </w:rPr>
        <w:t xml:space="preserve">Required:  </w:t>
      </w:r>
      <w:r>
        <w:rPr>
          <w:sz w:val="24"/>
        </w:rPr>
        <w:t>You need to prepare a comprehensive 6-month budget, including supporting schedules and a report for the period January 1, 20</w:t>
      </w:r>
      <w:r w:rsidR="00A94EBB">
        <w:rPr>
          <w:sz w:val="24"/>
        </w:rPr>
        <w:t>14</w:t>
      </w:r>
      <w:r w:rsidR="00BE5271">
        <w:rPr>
          <w:sz w:val="24"/>
        </w:rPr>
        <w:t xml:space="preserve"> to June 30, 20</w:t>
      </w:r>
      <w:r w:rsidR="00A94EBB">
        <w:rPr>
          <w:sz w:val="24"/>
        </w:rPr>
        <w:t>14</w:t>
      </w:r>
      <w:r>
        <w:rPr>
          <w:sz w:val="24"/>
        </w:rPr>
        <w:t xml:space="preserve"> for </w:t>
      </w:r>
      <w:proofErr w:type="spellStart"/>
      <w:r>
        <w:rPr>
          <w:sz w:val="24"/>
        </w:rPr>
        <w:t>Henron</w:t>
      </w:r>
      <w:proofErr w:type="spellEnd"/>
      <w:r>
        <w:rPr>
          <w:sz w:val="24"/>
        </w:rPr>
        <w:t xml:space="preserve">, </w:t>
      </w:r>
      <w:proofErr w:type="spellStart"/>
      <w:r>
        <w:rPr>
          <w:sz w:val="24"/>
        </w:rPr>
        <w:t>Inc</w:t>
      </w:r>
      <w:proofErr w:type="spellEnd"/>
      <w:r>
        <w:rPr>
          <w:sz w:val="24"/>
        </w:rPr>
        <w:t xml:space="preserve"> (a fictional company</w:t>
      </w:r>
      <w:r w:rsidR="00C563C0">
        <w:rPr>
          <w:sz w:val="24"/>
        </w:rPr>
        <w:t>)</w:t>
      </w:r>
      <w:r>
        <w:rPr>
          <w:sz w:val="24"/>
        </w:rPr>
        <w:t>.</w:t>
      </w:r>
    </w:p>
    <w:p w:rsidR="003C74F6" w:rsidRDefault="00BD5CC8">
      <w:pPr>
        <w:rPr>
          <w:sz w:val="24"/>
        </w:rPr>
      </w:pPr>
      <w:r>
        <w:rPr>
          <w:sz w:val="24"/>
        </w:rPr>
        <w:t xml:space="preserve">  </w:t>
      </w:r>
    </w:p>
    <w:p w:rsidR="00BD5CC8" w:rsidRDefault="00BD5CC8">
      <w:pPr>
        <w:rPr>
          <w:sz w:val="24"/>
        </w:rPr>
      </w:pPr>
      <w:r>
        <w:rPr>
          <w:sz w:val="24"/>
        </w:rPr>
        <w:t xml:space="preserve">This project </w:t>
      </w:r>
      <w:r w:rsidR="00C34B5A">
        <w:rPr>
          <w:sz w:val="24"/>
        </w:rPr>
        <w:t>i</w:t>
      </w:r>
      <w:r>
        <w:rPr>
          <w:sz w:val="24"/>
        </w:rPr>
        <w:t>nclude</w:t>
      </w:r>
      <w:r w:rsidR="00C34B5A">
        <w:rPr>
          <w:sz w:val="24"/>
        </w:rPr>
        <w:t>s</w:t>
      </w:r>
      <w:r>
        <w:rPr>
          <w:sz w:val="24"/>
        </w:rPr>
        <w:t>:</w:t>
      </w:r>
    </w:p>
    <w:p w:rsidR="00BD5CC8" w:rsidRDefault="00BD5CC8">
      <w:pPr>
        <w:numPr>
          <w:ilvl w:val="0"/>
          <w:numId w:val="1"/>
        </w:numPr>
        <w:rPr>
          <w:b/>
          <w:bCs/>
          <w:sz w:val="24"/>
        </w:rPr>
      </w:pPr>
      <w:r>
        <w:rPr>
          <w:b/>
          <w:bCs/>
          <w:sz w:val="24"/>
        </w:rPr>
        <w:t>Sales</w:t>
      </w:r>
      <w:r w:rsidR="00293BBF">
        <w:rPr>
          <w:b/>
          <w:bCs/>
          <w:sz w:val="24"/>
        </w:rPr>
        <w:t xml:space="preserve"> </w:t>
      </w:r>
      <w:r w:rsidR="008B3B93">
        <w:rPr>
          <w:bCs/>
          <w:sz w:val="24"/>
        </w:rPr>
        <w:t>F</w:t>
      </w:r>
      <w:r w:rsidR="00293BBF" w:rsidRPr="00293BBF">
        <w:rPr>
          <w:bCs/>
          <w:sz w:val="24"/>
        </w:rPr>
        <w:t>orecast and</w:t>
      </w:r>
      <w:r w:rsidRPr="00293BBF">
        <w:rPr>
          <w:bCs/>
          <w:sz w:val="24"/>
        </w:rPr>
        <w:t xml:space="preserve"> </w:t>
      </w:r>
      <w:r w:rsidR="008B3B93">
        <w:rPr>
          <w:bCs/>
          <w:sz w:val="24"/>
        </w:rPr>
        <w:t>B</w:t>
      </w:r>
      <w:r>
        <w:rPr>
          <w:sz w:val="24"/>
        </w:rPr>
        <w:t>udget</w:t>
      </w:r>
      <w:r w:rsidR="00147FE2">
        <w:rPr>
          <w:sz w:val="24"/>
        </w:rPr>
        <w:t>..........</w:t>
      </w:r>
      <w:r w:rsidR="00D64967">
        <w:rPr>
          <w:sz w:val="24"/>
        </w:rPr>
        <w:tab/>
      </w:r>
      <w:r w:rsidR="00D64967">
        <w:rPr>
          <w:sz w:val="24"/>
        </w:rPr>
        <w:tab/>
      </w:r>
      <w:r w:rsidR="00C7213A">
        <w:rPr>
          <w:b/>
          <w:sz w:val="24"/>
        </w:rPr>
        <w:t xml:space="preserve"> </w:t>
      </w:r>
      <w:r w:rsidR="00147FE2">
        <w:rPr>
          <w:sz w:val="24"/>
        </w:rPr>
        <w:t xml:space="preserve">       </w:t>
      </w:r>
    </w:p>
    <w:p w:rsidR="00BD5CC8" w:rsidRDefault="00BD5CC8">
      <w:pPr>
        <w:numPr>
          <w:ilvl w:val="0"/>
          <w:numId w:val="1"/>
        </w:numPr>
        <w:rPr>
          <w:b/>
          <w:bCs/>
          <w:sz w:val="24"/>
        </w:rPr>
      </w:pPr>
      <w:r>
        <w:rPr>
          <w:b/>
          <w:bCs/>
          <w:sz w:val="24"/>
        </w:rPr>
        <w:t xml:space="preserve">Cash Receipts </w:t>
      </w:r>
      <w:r>
        <w:rPr>
          <w:sz w:val="24"/>
        </w:rPr>
        <w:t>budget</w:t>
      </w:r>
      <w:r w:rsidR="00147FE2">
        <w:rPr>
          <w:sz w:val="24"/>
        </w:rPr>
        <w:t>................</w:t>
      </w:r>
      <w:r w:rsidR="00D64967">
        <w:rPr>
          <w:sz w:val="24"/>
        </w:rPr>
        <w:tab/>
      </w:r>
      <w:r w:rsidR="00D64967">
        <w:rPr>
          <w:sz w:val="24"/>
        </w:rPr>
        <w:tab/>
      </w:r>
      <w:r w:rsidR="00C7213A">
        <w:rPr>
          <w:b/>
          <w:sz w:val="24"/>
        </w:rPr>
        <w:t xml:space="preserve"> </w:t>
      </w:r>
    </w:p>
    <w:p w:rsidR="00BD5CC8" w:rsidRDefault="00BD5CC8">
      <w:pPr>
        <w:numPr>
          <w:ilvl w:val="0"/>
          <w:numId w:val="1"/>
        </w:numPr>
        <w:rPr>
          <w:b/>
          <w:bCs/>
          <w:sz w:val="24"/>
        </w:rPr>
      </w:pPr>
      <w:r>
        <w:rPr>
          <w:b/>
          <w:bCs/>
          <w:sz w:val="24"/>
        </w:rPr>
        <w:t>Purchase</w:t>
      </w:r>
      <w:r>
        <w:rPr>
          <w:sz w:val="24"/>
        </w:rPr>
        <w:t xml:space="preserve"> budget</w:t>
      </w:r>
      <w:r w:rsidR="00147FE2">
        <w:rPr>
          <w:sz w:val="24"/>
        </w:rPr>
        <w:t>........................</w:t>
      </w:r>
      <w:r w:rsidR="00D64967">
        <w:rPr>
          <w:sz w:val="24"/>
        </w:rPr>
        <w:tab/>
      </w:r>
      <w:r w:rsidR="00D64967">
        <w:rPr>
          <w:sz w:val="24"/>
        </w:rPr>
        <w:tab/>
      </w:r>
      <w:r w:rsidR="00C7213A">
        <w:rPr>
          <w:b/>
          <w:sz w:val="24"/>
        </w:rPr>
        <w:t xml:space="preserve"> </w:t>
      </w:r>
    </w:p>
    <w:p w:rsidR="00BD5CC8" w:rsidRDefault="00BD5CC8">
      <w:pPr>
        <w:numPr>
          <w:ilvl w:val="0"/>
          <w:numId w:val="1"/>
        </w:numPr>
        <w:rPr>
          <w:b/>
          <w:bCs/>
          <w:sz w:val="24"/>
        </w:rPr>
      </w:pPr>
      <w:r>
        <w:rPr>
          <w:b/>
          <w:bCs/>
          <w:sz w:val="24"/>
        </w:rPr>
        <w:t xml:space="preserve">Cash </w:t>
      </w:r>
      <w:r w:rsidR="00D90F47">
        <w:rPr>
          <w:b/>
          <w:bCs/>
          <w:sz w:val="24"/>
        </w:rPr>
        <w:t xml:space="preserve">Purchases </w:t>
      </w:r>
      <w:r>
        <w:rPr>
          <w:b/>
          <w:bCs/>
          <w:sz w:val="24"/>
        </w:rPr>
        <w:t>Disbursements</w:t>
      </w:r>
      <w:r>
        <w:rPr>
          <w:sz w:val="24"/>
        </w:rPr>
        <w:t xml:space="preserve"> budget</w:t>
      </w:r>
      <w:r w:rsidR="00147FE2">
        <w:rPr>
          <w:sz w:val="24"/>
        </w:rPr>
        <w:t>.....</w:t>
      </w:r>
      <w:r w:rsidR="00C7213A">
        <w:rPr>
          <w:b/>
          <w:sz w:val="24"/>
        </w:rPr>
        <w:t xml:space="preserve"> </w:t>
      </w:r>
    </w:p>
    <w:p w:rsidR="00BD5CC8" w:rsidRDefault="00BD5CC8">
      <w:pPr>
        <w:numPr>
          <w:ilvl w:val="0"/>
          <w:numId w:val="1"/>
        </w:numPr>
        <w:rPr>
          <w:b/>
          <w:bCs/>
          <w:sz w:val="24"/>
        </w:rPr>
      </w:pPr>
      <w:r>
        <w:rPr>
          <w:b/>
          <w:bCs/>
          <w:sz w:val="24"/>
        </w:rPr>
        <w:t>Operating Expense</w:t>
      </w:r>
      <w:r>
        <w:rPr>
          <w:sz w:val="24"/>
        </w:rPr>
        <w:t xml:space="preserve"> budget.</w:t>
      </w:r>
      <w:r w:rsidR="00147FE2">
        <w:rPr>
          <w:sz w:val="24"/>
        </w:rPr>
        <w:t>.....</w:t>
      </w:r>
      <w:r w:rsidR="00D64967">
        <w:rPr>
          <w:sz w:val="24"/>
        </w:rPr>
        <w:tab/>
      </w:r>
      <w:r w:rsidR="00D64967">
        <w:rPr>
          <w:sz w:val="24"/>
        </w:rPr>
        <w:tab/>
      </w:r>
      <w:r w:rsidR="00C7213A">
        <w:rPr>
          <w:b/>
          <w:sz w:val="24"/>
        </w:rPr>
        <w:t xml:space="preserve"> </w:t>
      </w:r>
    </w:p>
    <w:p w:rsidR="00BD5CC8" w:rsidRDefault="00BD5CC8">
      <w:pPr>
        <w:numPr>
          <w:ilvl w:val="0"/>
          <w:numId w:val="1"/>
        </w:numPr>
        <w:rPr>
          <w:b/>
          <w:bCs/>
          <w:sz w:val="24"/>
        </w:rPr>
      </w:pPr>
      <w:r>
        <w:rPr>
          <w:b/>
          <w:bCs/>
          <w:sz w:val="24"/>
        </w:rPr>
        <w:t>Summary Cash</w:t>
      </w:r>
      <w:r>
        <w:rPr>
          <w:sz w:val="24"/>
        </w:rPr>
        <w:t xml:space="preserve"> budget</w:t>
      </w:r>
      <w:r w:rsidR="00147FE2">
        <w:rPr>
          <w:sz w:val="24"/>
        </w:rPr>
        <w:t>............</w:t>
      </w:r>
      <w:r w:rsidR="00D64967">
        <w:rPr>
          <w:sz w:val="24"/>
        </w:rPr>
        <w:tab/>
      </w:r>
      <w:r w:rsidR="00D64967">
        <w:rPr>
          <w:sz w:val="24"/>
        </w:rPr>
        <w:tab/>
      </w:r>
      <w:r w:rsidR="00C7213A">
        <w:rPr>
          <w:b/>
          <w:sz w:val="24"/>
        </w:rPr>
        <w:t xml:space="preserve"> </w:t>
      </w:r>
    </w:p>
    <w:p w:rsidR="00BD5CC8" w:rsidRPr="00147FE2" w:rsidRDefault="00147FE2">
      <w:pPr>
        <w:numPr>
          <w:ilvl w:val="0"/>
          <w:numId w:val="1"/>
        </w:numPr>
        <w:rPr>
          <w:b/>
          <w:bCs/>
          <w:sz w:val="24"/>
        </w:rPr>
      </w:pPr>
      <w:r>
        <w:rPr>
          <w:sz w:val="24"/>
        </w:rPr>
        <w:t>B</w:t>
      </w:r>
      <w:r w:rsidR="00BD5CC8">
        <w:rPr>
          <w:sz w:val="24"/>
        </w:rPr>
        <w:t xml:space="preserve">udgeted </w:t>
      </w:r>
      <w:r w:rsidR="00BD5CC8">
        <w:rPr>
          <w:b/>
          <w:bCs/>
          <w:sz w:val="24"/>
        </w:rPr>
        <w:t>Income Statement</w:t>
      </w:r>
      <w:r w:rsidR="00BD5CC8">
        <w:rPr>
          <w:sz w:val="24"/>
        </w:rPr>
        <w:t>.</w:t>
      </w:r>
      <w:r>
        <w:rPr>
          <w:sz w:val="24"/>
        </w:rPr>
        <w:t>....</w:t>
      </w:r>
      <w:r w:rsidR="00D64967">
        <w:rPr>
          <w:sz w:val="24"/>
        </w:rPr>
        <w:tab/>
      </w:r>
      <w:r w:rsidR="00D64967">
        <w:rPr>
          <w:sz w:val="24"/>
        </w:rPr>
        <w:tab/>
      </w:r>
      <w:r w:rsidR="00C7213A">
        <w:rPr>
          <w:b/>
          <w:sz w:val="24"/>
        </w:rPr>
        <w:t xml:space="preserve"> </w:t>
      </w:r>
    </w:p>
    <w:p w:rsidR="00147FE2" w:rsidRDefault="00147FE2">
      <w:pPr>
        <w:numPr>
          <w:ilvl w:val="0"/>
          <w:numId w:val="1"/>
        </w:numPr>
        <w:rPr>
          <w:sz w:val="24"/>
        </w:rPr>
      </w:pPr>
      <w:r>
        <w:rPr>
          <w:sz w:val="24"/>
        </w:rPr>
        <w:t xml:space="preserve">Budgeted </w:t>
      </w:r>
      <w:r w:rsidRPr="00147FE2">
        <w:rPr>
          <w:b/>
          <w:sz w:val="24"/>
        </w:rPr>
        <w:t>Balance Sheet</w:t>
      </w:r>
      <w:r>
        <w:rPr>
          <w:sz w:val="24"/>
        </w:rPr>
        <w:t>............</w:t>
      </w:r>
      <w:r w:rsidR="00D64967">
        <w:rPr>
          <w:sz w:val="24"/>
        </w:rPr>
        <w:tab/>
      </w:r>
      <w:r w:rsidR="00D64967">
        <w:rPr>
          <w:sz w:val="24"/>
        </w:rPr>
        <w:tab/>
      </w:r>
      <w:r w:rsidR="00C7213A">
        <w:rPr>
          <w:b/>
          <w:sz w:val="24"/>
        </w:rPr>
        <w:t xml:space="preserve"> </w:t>
      </w:r>
    </w:p>
    <w:p w:rsidR="00AB3875" w:rsidRDefault="00AB3875" w:rsidP="00AB3875">
      <w:pPr>
        <w:rPr>
          <w:sz w:val="24"/>
        </w:rPr>
      </w:pPr>
    </w:p>
    <w:p w:rsidR="00BD5CC8" w:rsidRDefault="00BD5CC8">
      <w:pPr>
        <w:pStyle w:val="Heading1"/>
      </w:pPr>
      <w:r>
        <w:t>Notes and Hints</w:t>
      </w:r>
    </w:p>
    <w:p w:rsidR="0007445B" w:rsidRDefault="00C563C0" w:rsidP="0007445B">
      <w:pPr>
        <w:pStyle w:val="BodyTextIndent"/>
        <w:numPr>
          <w:ilvl w:val="0"/>
          <w:numId w:val="5"/>
        </w:numPr>
      </w:pPr>
      <w:r>
        <w:t xml:space="preserve">All </w:t>
      </w:r>
      <w:r w:rsidR="003B3382">
        <w:t>8</w:t>
      </w:r>
      <w:r>
        <w:t xml:space="preserve"> parts must be submitted before I grade the project. </w:t>
      </w:r>
      <w:r w:rsidR="003B3382">
        <w:t xml:space="preserve"> </w:t>
      </w:r>
    </w:p>
    <w:p w:rsidR="00290563" w:rsidRDefault="00290563" w:rsidP="00290563">
      <w:pPr>
        <w:pStyle w:val="BodyTextIndent"/>
        <w:ind w:left="720"/>
      </w:pPr>
    </w:p>
    <w:p w:rsidR="0007445B" w:rsidRDefault="008B3B93" w:rsidP="0007445B">
      <w:pPr>
        <w:pStyle w:val="BodyTextIndent"/>
        <w:numPr>
          <w:ilvl w:val="0"/>
          <w:numId w:val="5"/>
        </w:numPr>
      </w:pPr>
      <w:r>
        <w:t xml:space="preserve">The schedules/budgets must be prepared on Excel. The templates I have prepared </w:t>
      </w:r>
      <w:r w:rsidR="00D90F47">
        <w:t>must be</w:t>
      </w:r>
      <w:r>
        <w:t xml:space="preserve"> used</w:t>
      </w:r>
      <w:r w:rsidR="00131EE9">
        <w:t xml:space="preserve"> as is</w:t>
      </w:r>
      <w:r>
        <w:t xml:space="preserve">.  </w:t>
      </w:r>
    </w:p>
    <w:p w:rsidR="00D90F47" w:rsidRDefault="00D90F47" w:rsidP="00D90F47">
      <w:pPr>
        <w:pStyle w:val="BodyTextIndent"/>
        <w:ind w:left="0"/>
      </w:pPr>
    </w:p>
    <w:p w:rsidR="00D90F47" w:rsidRDefault="00D90F47" w:rsidP="00D90F47">
      <w:pPr>
        <w:pStyle w:val="BodyTextIndent"/>
        <w:numPr>
          <w:ilvl w:val="0"/>
          <w:numId w:val="5"/>
        </w:numPr>
      </w:pPr>
      <w:r w:rsidRPr="00D64967">
        <w:rPr>
          <w:b/>
          <w:i/>
        </w:rPr>
        <w:t>Part of this project is demonstrating proper use of Excel</w:t>
      </w:r>
      <w:r>
        <w:t xml:space="preserve">. You may only input a “hard number” into a </w:t>
      </w:r>
      <w:r w:rsidRPr="003C74F6">
        <w:rPr>
          <w:color w:val="FFFFFF" w:themeColor="background1"/>
          <w:highlight w:val="magenta"/>
        </w:rPr>
        <w:t>pink cell</w:t>
      </w:r>
      <w:r>
        <w:t xml:space="preserve">. All </w:t>
      </w:r>
      <w:r w:rsidRPr="003C74F6">
        <w:rPr>
          <w:u w:val="single"/>
        </w:rPr>
        <w:t>yellow cells must be formula</w:t>
      </w:r>
      <w:r>
        <w:t xml:space="preserve"> based (no numbers included – use appropriate cell referencing). </w:t>
      </w:r>
      <w:r w:rsidR="00B056F9">
        <w:rPr>
          <w:b/>
        </w:rPr>
        <w:t xml:space="preserve"> </w:t>
      </w:r>
      <w:r w:rsidR="00C34B5A">
        <w:rPr>
          <w:b/>
        </w:rPr>
        <w:t>Do not insert any columns or rows into the table areas. You can use the white cells to the right if you want.</w:t>
      </w:r>
    </w:p>
    <w:p w:rsidR="00D90F47" w:rsidRDefault="00D90F47" w:rsidP="00D90F47">
      <w:pPr>
        <w:pStyle w:val="BodyTextIndent"/>
        <w:ind w:left="0"/>
      </w:pPr>
    </w:p>
    <w:p w:rsidR="008B3B93" w:rsidRDefault="008B3B93" w:rsidP="00DA23DA">
      <w:pPr>
        <w:pStyle w:val="BodyTextIndent"/>
        <w:numPr>
          <w:ilvl w:val="0"/>
          <w:numId w:val="5"/>
        </w:numPr>
      </w:pPr>
      <w:r>
        <w:t xml:space="preserve">I recommend constructing the formulas for one month and then copying the formulas over to the remaining months.  </w:t>
      </w:r>
    </w:p>
    <w:p w:rsidR="0007445B" w:rsidRDefault="0007445B" w:rsidP="0007445B">
      <w:pPr>
        <w:pStyle w:val="BodyTextIndent"/>
      </w:pPr>
    </w:p>
    <w:p w:rsidR="008B3B93" w:rsidRDefault="008B3B93">
      <w:pPr>
        <w:pStyle w:val="BodyTextIndent"/>
        <w:numPr>
          <w:ilvl w:val="0"/>
          <w:numId w:val="5"/>
        </w:numPr>
      </w:pPr>
      <w:r>
        <w:t>Rounding is encouraged and</w:t>
      </w:r>
      <w:r w:rsidR="0007445B">
        <w:t xml:space="preserve"> you may </w:t>
      </w:r>
      <w:r>
        <w:t xml:space="preserve">ignore </w:t>
      </w:r>
      <w:r w:rsidR="0007445B">
        <w:t xml:space="preserve">interest and </w:t>
      </w:r>
      <w:r>
        <w:t>taxes.</w:t>
      </w:r>
    </w:p>
    <w:p w:rsidR="00293BBF" w:rsidRDefault="00293BBF" w:rsidP="00293BBF">
      <w:pPr>
        <w:pStyle w:val="BodyTextIndent"/>
        <w:ind w:left="0"/>
      </w:pPr>
    </w:p>
    <w:p w:rsidR="00C75A7C" w:rsidRDefault="003B3382">
      <w:pPr>
        <w:numPr>
          <w:ilvl w:val="0"/>
          <w:numId w:val="5"/>
        </w:numPr>
        <w:rPr>
          <w:sz w:val="24"/>
        </w:rPr>
      </w:pPr>
      <w:r>
        <w:rPr>
          <w:sz w:val="24"/>
        </w:rPr>
        <w:t>The</w:t>
      </w:r>
      <w:r w:rsidR="00C75A7C">
        <w:rPr>
          <w:sz w:val="24"/>
        </w:rPr>
        <w:t xml:space="preserve"> budget template</w:t>
      </w:r>
      <w:r w:rsidR="00C563C0">
        <w:rPr>
          <w:sz w:val="24"/>
        </w:rPr>
        <w:t>s</w:t>
      </w:r>
      <w:r>
        <w:rPr>
          <w:sz w:val="24"/>
        </w:rPr>
        <w:t xml:space="preserve"> and this instruction sheet are located on the course materials page. </w:t>
      </w:r>
      <w:r>
        <w:rPr>
          <w:b/>
          <w:sz w:val="24"/>
          <w:u w:val="single"/>
        </w:rPr>
        <w:t xml:space="preserve">Make sure you save the file to excel and then open the file through Excel (not </w:t>
      </w:r>
      <w:r w:rsidR="00C34B5A">
        <w:rPr>
          <w:b/>
          <w:sz w:val="24"/>
          <w:u w:val="single"/>
        </w:rPr>
        <w:t>inside a web browser</w:t>
      </w:r>
      <w:r>
        <w:rPr>
          <w:b/>
          <w:sz w:val="24"/>
          <w:u w:val="single"/>
        </w:rPr>
        <w:t>).</w:t>
      </w:r>
      <w:r w:rsidR="00C75A7C">
        <w:rPr>
          <w:sz w:val="24"/>
        </w:rPr>
        <w:t xml:space="preserve">  </w:t>
      </w:r>
      <w:bookmarkStart w:id="0" w:name="_GoBack"/>
      <w:bookmarkEnd w:id="0"/>
    </w:p>
    <w:p w:rsidR="00BE3E32" w:rsidRDefault="00BE3E32" w:rsidP="00BE3E32">
      <w:pPr>
        <w:rPr>
          <w:sz w:val="24"/>
        </w:rPr>
      </w:pPr>
    </w:p>
    <w:p w:rsidR="00BE3E32" w:rsidRDefault="00BE3E32">
      <w:pPr>
        <w:numPr>
          <w:ilvl w:val="0"/>
          <w:numId w:val="5"/>
        </w:numPr>
        <w:rPr>
          <w:sz w:val="24"/>
        </w:rPr>
      </w:pPr>
      <w:r>
        <w:rPr>
          <w:sz w:val="24"/>
        </w:rPr>
        <w:t>Check figures are also located on the course materials page.</w:t>
      </w:r>
    </w:p>
    <w:p w:rsidR="00BD5CC8" w:rsidRDefault="00BE3E32">
      <w:pPr>
        <w:pStyle w:val="Heading1"/>
      </w:pPr>
      <w:r>
        <w:br w:type="page"/>
      </w:r>
      <w:r w:rsidR="00BD5CC8">
        <w:lastRenderedPageBreak/>
        <w:t>INFORMATION FOR HENRON, INC. BUDGET PROJECT</w:t>
      </w:r>
    </w:p>
    <w:p w:rsidR="00BD5CC8" w:rsidRDefault="00BD5CC8"/>
    <w:p w:rsidR="00BD5CC8" w:rsidRDefault="00BD5CC8">
      <w:pPr>
        <w:numPr>
          <w:ilvl w:val="0"/>
          <w:numId w:val="12"/>
        </w:numPr>
        <w:rPr>
          <w:sz w:val="22"/>
        </w:rPr>
      </w:pPr>
      <w:r>
        <w:rPr>
          <w:sz w:val="22"/>
        </w:rPr>
        <w:t>Heron, Inc. is a company that re-sells one product, a particularly comfortable lawn chair.  An overseas contractor makes the product exclusively for Heron, so Heron has n</w:t>
      </w:r>
      <w:r w:rsidR="00CA6CE5">
        <w:rPr>
          <w:sz w:val="22"/>
        </w:rPr>
        <w:t>o manufacturing-related costs.</w:t>
      </w:r>
    </w:p>
    <w:p w:rsidR="00BD5CC8" w:rsidRDefault="00BD5CC8">
      <w:pPr>
        <w:rPr>
          <w:sz w:val="22"/>
        </w:rPr>
      </w:pPr>
    </w:p>
    <w:p w:rsidR="00BD5CC8" w:rsidRDefault="008B3B93">
      <w:pPr>
        <w:numPr>
          <w:ilvl w:val="0"/>
          <w:numId w:val="12"/>
        </w:numPr>
        <w:rPr>
          <w:sz w:val="22"/>
        </w:rPr>
      </w:pPr>
      <w:r>
        <w:rPr>
          <w:sz w:val="22"/>
        </w:rPr>
        <w:t>As of 11/</w:t>
      </w:r>
      <w:r w:rsidR="00A94EBB">
        <w:rPr>
          <w:sz w:val="22"/>
        </w:rPr>
        <w:t>2013</w:t>
      </w:r>
      <w:r w:rsidR="00B5165E">
        <w:rPr>
          <w:sz w:val="22"/>
        </w:rPr>
        <w:t>, e</w:t>
      </w:r>
      <w:r w:rsidR="00791148">
        <w:rPr>
          <w:sz w:val="22"/>
        </w:rPr>
        <w:t>ach lawn chair costs Heron $</w:t>
      </w:r>
      <w:r w:rsidR="00C83A1B">
        <w:rPr>
          <w:sz w:val="22"/>
        </w:rPr>
        <w:t>4</w:t>
      </w:r>
      <w:r w:rsidR="00BD5CC8">
        <w:rPr>
          <w:sz w:val="22"/>
        </w:rPr>
        <w:t xml:space="preserve"> per unit.  </w:t>
      </w:r>
      <w:r w:rsidR="00B5165E">
        <w:rPr>
          <w:sz w:val="22"/>
        </w:rPr>
        <w:t>Henron sells each chair for</w:t>
      </w:r>
      <w:r w:rsidR="00791148">
        <w:rPr>
          <w:sz w:val="22"/>
        </w:rPr>
        <w:t xml:space="preserve"> $10</w:t>
      </w:r>
      <w:r w:rsidR="00BD5CC8">
        <w:rPr>
          <w:sz w:val="22"/>
        </w:rPr>
        <w:t xml:space="preserve"> per unit.</w:t>
      </w:r>
    </w:p>
    <w:p w:rsidR="00BD5CC8" w:rsidRDefault="00BD5CC8">
      <w:pPr>
        <w:rPr>
          <w:sz w:val="22"/>
        </w:rPr>
      </w:pPr>
    </w:p>
    <w:p w:rsidR="00BD5CC8" w:rsidRDefault="0007445B">
      <w:pPr>
        <w:numPr>
          <w:ilvl w:val="0"/>
          <w:numId w:val="12"/>
        </w:numPr>
        <w:rPr>
          <w:sz w:val="22"/>
        </w:rPr>
      </w:pPr>
      <w:r>
        <w:rPr>
          <w:sz w:val="22"/>
        </w:rPr>
        <w:t>T</w:t>
      </w:r>
      <w:r w:rsidR="00BD5CC8">
        <w:rPr>
          <w:sz w:val="22"/>
        </w:rPr>
        <w:t>he estimated sales (in units) are as follows:</w:t>
      </w:r>
    </w:p>
    <w:p w:rsidR="00BD5CC8" w:rsidRDefault="00BD5CC8">
      <w:pPr>
        <w:rPr>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1070"/>
      </w:tblGrid>
      <w:tr w:rsidR="0007445B">
        <w:tblPrEx>
          <w:tblCellMar>
            <w:top w:w="0" w:type="dxa"/>
            <w:bottom w:w="0" w:type="dxa"/>
          </w:tblCellMar>
        </w:tblPrEx>
        <w:tc>
          <w:tcPr>
            <w:tcW w:w="990" w:type="dxa"/>
          </w:tcPr>
          <w:p w:rsidR="0007445B" w:rsidRDefault="0007445B" w:rsidP="00F829D6">
            <w:pPr>
              <w:rPr>
                <w:sz w:val="22"/>
              </w:rPr>
            </w:pPr>
            <w:r>
              <w:rPr>
                <w:sz w:val="22"/>
              </w:rPr>
              <w:t xml:space="preserve">Nov </w:t>
            </w:r>
            <w:r w:rsidR="00A94EBB">
              <w:rPr>
                <w:sz w:val="22"/>
              </w:rPr>
              <w:t>‘13</w:t>
            </w:r>
          </w:p>
        </w:tc>
        <w:tc>
          <w:tcPr>
            <w:tcW w:w="1070" w:type="dxa"/>
          </w:tcPr>
          <w:p w:rsidR="0007445B" w:rsidRDefault="0007445B">
            <w:pPr>
              <w:rPr>
                <w:sz w:val="22"/>
              </w:rPr>
            </w:pPr>
            <w:r>
              <w:rPr>
                <w:sz w:val="22"/>
              </w:rPr>
              <w:t>11,250</w:t>
            </w:r>
          </w:p>
        </w:tc>
      </w:tr>
      <w:tr w:rsidR="0007445B">
        <w:tblPrEx>
          <w:tblCellMar>
            <w:top w:w="0" w:type="dxa"/>
            <w:bottom w:w="0" w:type="dxa"/>
          </w:tblCellMar>
        </w:tblPrEx>
        <w:tc>
          <w:tcPr>
            <w:tcW w:w="990" w:type="dxa"/>
          </w:tcPr>
          <w:p w:rsidR="0007445B" w:rsidRDefault="0007445B" w:rsidP="00A94EBB">
            <w:pPr>
              <w:rPr>
                <w:sz w:val="22"/>
              </w:rPr>
            </w:pPr>
            <w:r>
              <w:rPr>
                <w:sz w:val="22"/>
              </w:rPr>
              <w:t xml:space="preserve">Dec </w:t>
            </w:r>
            <w:r w:rsidR="00A94EBB">
              <w:rPr>
                <w:sz w:val="22"/>
              </w:rPr>
              <w:t>‘13</w:t>
            </w:r>
          </w:p>
        </w:tc>
        <w:tc>
          <w:tcPr>
            <w:tcW w:w="1070" w:type="dxa"/>
          </w:tcPr>
          <w:p w:rsidR="0007445B" w:rsidRDefault="0007445B">
            <w:pPr>
              <w:rPr>
                <w:sz w:val="22"/>
              </w:rPr>
            </w:pPr>
            <w:r>
              <w:rPr>
                <w:sz w:val="22"/>
              </w:rPr>
              <w:t>11,600</w:t>
            </w:r>
          </w:p>
        </w:tc>
      </w:tr>
      <w:tr w:rsidR="00BD5CC8">
        <w:tblPrEx>
          <w:tblCellMar>
            <w:top w:w="0" w:type="dxa"/>
            <w:bottom w:w="0" w:type="dxa"/>
          </w:tblCellMar>
        </w:tblPrEx>
        <w:tc>
          <w:tcPr>
            <w:tcW w:w="990" w:type="dxa"/>
          </w:tcPr>
          <w:p w:rsidR="00BD5CC8" w:rsidRDefault="00BD5CC8" w:rsidP="00F829D6">
            <w:pPr>
              <w:rPr>
                <w:sz w:val="22"/>
              </w:rPr>
            </w:pPr>
            <w:r>
              <w:rPr>
                <w:sz w:val="22"/>
              </w:rPr>
              <w:t>Jan</w:t>
            </w:r>
            <w:r w:rsidR="0007445B">
              <w:rPr>
                <w:sz w:val="22"/>
              </w:rPr>
              <w:t xml:space="preserve"> </w:t>
            </w:r>
            <w:r w:rsidR="00A94EBB">
              <w:rPr>
                <w:sz w:val="22"/>
              </w:rPr>
              <w:t>‘14</w:t>
            </w:r>
          </w:p>
        </w:tc>
        <w:tc>
          <w:tcPr>
            <w:tcW w:w="1070" w:type="dxa"/>
          </w:tcPr>
          <w:p w:rsidR="00BD5CC8" w:rsidRDefault="00BD5CC8">
            <w:pPr>
              <w:rPr>
                <w:sz w:val="22"/>
              </w:rPr>
            </w:pPr>
            <w:r>
              <w:rPr>
                <w:sz w:val="22"/>
              </w:rPr>
              <w:t>10,000</w:t>
            </w:r>
          </w:p>
        </w:tc>
      </w:tr>
      <w:tr w:rsidR="00BD5CC8">
        <w:tblPrEx>
          <w:tblCellMar>
            <w:top w:w="0" w:type="dxa"/>
            <w:bottom w:w="0" w:type="dxa"/>
          </w:tblCellMar>
        </w:tblPrEx>
        <w:tc>
          <w:tcPr>
            <w:tcW w:w="990" w:type="dxa"/>
          </w:tcPr>
          <w:p w:rsidR="00BD5CC8" w:rsidRDefault="00BD5CC8">
            <w:pPr>
              <w:rPr>
                <w:sz w:val="22"/>
              </w:rPr>
            </w:pPr>
            <w:r>
              <w:rPr>
                <w:sz w:val="22"/>
              </w:rPr>
              <w:t>Feb</w:t>
            </w:r>
            <w:r w:rsidR="0007445B">
              <w:rPr>
                <w:sz w:val="22"/>
              </w:rPr>
              <w:t xml:space="preserve"> </w:t>
            </w:r>
            <w:r w:rsidR="00A94EBB">
              <w:rPr>
                <w:sz w:val="22"/>
              </w:rPr>
              <w:t>‘14</w:t>
            </w:r>
          </w:p>
        </w:tc>
        <w:tc>
          <w:tcPr>
            <w:tcW w:w="1070" w:type="dxa"/>
          </w:tcPr>
          <w:p w:rsidR="00BD5CC8" w:rsidRDefault="00BD5CC8">
            <w:pPr>
              <w:rPr>
                <w:sz w:val="22"/>
              </w:rPr>
            </w:pPr>
            <w:r>
              <w:rPr>
                <w:sz w:val="22"/>
              </w:rPr>
              <w:t>11,400</w:t>
            </w:r>
          </w:p>
        </w:tc>
      </w:tr>
      <w:tr w:rsidR="00BD5CC8">
        <w:tblPrEx>
          <w:tblCellMar>
            <w:top w:w="0" w:type="dxa"/>
            <w:bottom w:w="0" w:type="dxa"/>
          </w:tblCellMar>
        </w:tblPrEx>
        <w:tc>
          <w:tcPr>
            <w:tcW w:w="990" w:type="dxa"/>
          </w:tcPr>
          <w:p w:rsidR="00BD5CC8" w:rsidRDefault="00BD5CC8">
            <w:pPr>
              <w:rPr>
                <w:sz w:val="22"/>
              </w:rPr>
            </w:pPr>
            <w:r>
              <w:rPr>
                <w:sz w:val="22"/>
              </w:rPr>
              <w:t>Mar</w:t>
            </w:r>
            <w:r w:rsidR="0007445B">
              <w:rPr>
                <w:sz w:val="22"/>
              </w:rPr>
              <w:t xml:space="preserve"> </w:t>
            </w:r>
            <w:r w:rsidR="00A94EBB">
              <w:rPr>
                <w:sz w:val="22"/>
              </w:rPr>
              <w:t>‘14</w:t>
            </w:r>
          </w:p>
        </w:tc>
        <w:tc>
          <w:tcPr>
            <w:tcW w:w="1070" w:type="dxa"/>
          </w:tcPr>
          <w:p w:rsidR="00BD5CC8" w:rsidRDefault="00BD5CC8">
            <w:pPr>
              <w:rPr>
                <w:sz w:val="22"/>
              </w:rPr>
            </w:pPr>
            <w:r>
              <w:rPr>
                <w:sz w:val="22"/>
              </w:rPr>
              <w:t>12,000</w:t>
            </w:r>
          </w:p>
        </w:tc>
      </w:tr>
      <w:tr w:rsidR="00BD5CC8">
        <w:tblPrEx>
          <w:tblCellMar>
            <w:top w:w="0" w:type="dxa"/>
            <w:bottom w:w="0" w:type="dxa"/>
          </w:tblCellMar>
        </w:tblPrEx>
        <w:tc>
          <w:tcPr>
            <w:tcW w:w="990" w:type="dxa"/>
          </w:tcPr>
          <w:p w:rsidR="00BD5CC8" w:rsidRDefault="00BD5CC8">
            <w:pPr>
              <w:rPr>
                <w:sz w:val="22"/>
              </w:rPr>
            </w:pPr>
            <w:r>
              <w:rPr>
                <w:sz w:val="22"/>
              </w:rPr>
              <w:t>Apr</w:t>
            </w:r>
            <w:r w:rsidR="0007445B">
              <w:rPr>
                <w:sz w:val="22"/>
              </w:rPr>
              <w:t xml:space="preserve"> </w:t>
            </w:r>
            <w:r w:rsidR="00A94EBB">
              <w:rPr>
                <w:sz w:val="22"/>
              </w:rPr>
              <w:t>‘14</w:t>
            </w:r>
          </w:p>
        </w:tc>
        <w:tc>
          <w:tcPr>
            <w:tcW w:w="1070" w:type="dxa"/>
          </w:tcPr>
          <w:p w:rsidR="00BD5CC8" w:rsidRDefault="00BD5CC8">
            <w:pPr>
              <w:rPr>
                <w:sz w:val="22"/>
              </w:rPr>
            </w:pPr>
            <w:r>
              <w:rPr>
                <w:sz w:val="22"/>
              </w:rPr>
              <w:t>15,600</w:t>
            </w:r>
          </w:p>
        </w:tc>
      </w:tr>
      <w:tr w:rsidR="00BD5CC8">
        <w:tblPrEx>
          <w:tblCellMar>
            <w:top w:w="0" w:type="dxa"/>
            <w:bottom w:w="0" w:type="dxa"/>
          </w:tblCellMar>
        </w:tblPrEx>
        <w:tc>
          <w:tcPr>
            <w:tcW w:w="990" w:type="dxa"/>
          </w:tcPr>
          <w:p w:rsidR="00BD5CC8" w:rsidRDefault="00BD5CC8">
            <w:pPr>
              <w:rPr>
                <w:sz w:val="22"/>
              </w:rPr>
            </w:pPr>
            <w:r>
              <w:rPr>
                <w:sz w:val="22"/>
              </w:rPr>
              <w:t>May</w:t>
            </w:r>
            <w:r w:rsidR="0007445B">
              <w:rPr>
                <w:sz w:val="22"/>
              </w:rPr>
              <w:t xml:space="preserve"> </w:t>
            </w:r>
            <w:r w:rsidR="00A94EBB">
              <w:rPr>
                <w:sz w:val="22"/>
              </w:rPr>
              <w:t>‘14</w:t>
            </w:r>
          </w:p>
        </w:tc>
        <w:tc>
          <w:tcPr>
            <w:tcW w:w="1070" w:type="dxa"/>
          </w:tcPr>
          <w:p w:rsidR="00BD5CC8" w:rsidRDefault="00BD5CC8">
            <w:pPr>
              <w:rPr>
                <w:sz w:val="22"/>
              </w:rPr>
            </w:pPr>
            <w:r>
              <w:rPr>
                <w:sz w:val="22"/>
              </w:rPr>
              <w:t>18,000</w:t>
            </w:r>
          </w:p>
        </w:tc>
      </w:tr>
      <w:tr w:rsidR="00BD5CC8">
        <w:tblPrEx>
          <w:tblCellMar>
            <w:top w:w="0" w:type="dxa"/>
            <w:bottom w:w="0" w:type="dxa"/>
          </w:tblCellMar>
        </w:tblPrEx>
        <w:tc>
          <w:tcPr>
            <w:tcW w:w="990" w:type="dxa"/>
          </w:tcPr>
          <w:p w:rsidR="00BD5CC8" w:rsidRDefault="00BD5CC8">
            <w:pPr>
              <w:rPr>
                <w:sz w:val="22"/>
              </w:rPr>
            </w:pPr>
            <w:r>
              <w:rPr>
                <w:sz w:val="22"/>
              </w:rPr>
              <w:t>June</w:t>
            </w:r>
            <w:r w:rsidR="0007445B">
              <w:rPr>
                <w:sz w:val="22"/>
              </w:rPr>
              <w:t xml:space="preserve"> </w:t>
            </w:r>
            <w:r w:rsidR="00A94EBB">
              <w:rPr>
                <w:sz w:val="22"/>
              </w:rPr>
              <w:t>‘14</w:t>
            </w:r>
          </w:p>
        </w:tc>
        <w:tc>
          <w:tcPr>
            <w:tcW w:w="1070" w:type="dxa"/>
          </w:tcPr>
          <w:p w:rsidR="00BD5CC8" w:rsidRDefault="00BD5CC8">
            <w:pPr>
              <w:rPr>
                <w:sz w:val="22"/>
              </w:rPr>
            </w:pPr>
            <w:r>
              <w:rPr>
                <w:sz w:val="22"/>
              </w:rPr>
              <w:t>22,000</w:t>
            </w:r>
          </w:p>
        </w:tc>
      </w:tr>
      <w:tr w:rsidR="00BD5CC8">
        <w:tblPrEx>
          <w:tblCellMar>
            <w:top w:w="0" w:type="dxa"/>
            <w:bottom w:w="0" w:type="dxa"/>
          </w:tblCellMar>
        </w:tblPrEx>
        <w:tc>
          <w:tcPr>
            <w:tcW w:w="990" w:type="dxa"/>
          </w:tcPr>
          <w:p w:rsidR="00BD5CC8" w:rsidRDefault="00BD5CC8">
            <w:pPr>
              <w:rPr>
                <w:sz w:val="22"/>
              </w:rPr>
            </w:pPr>
            <w:r>
              <w:rPr>
                <w:sz w:val="22"/>
              </w:rPr>
              <w:t>July</w:t>
            </w:r>
            <w:r w:rsidR="0007445B">
              <w:rPr>
                <w:sz w:val="22"/>
              </w:rPr>
              <w:t xml:space="preserve"> </w:t>
            </w:r>
            <w:r w:rsidR="00A94EBB">
              <w:rPr>
                <w:sz w:val="22"/>
              </w:rPr>
              <w:t>‘14</w:t>
            </w:r>
          </w:p>
        </w:tc>
        <w:tc>
          <w:tcPr>
            <w:tcW w:w="1070" w:type="dxa"/>
          </w:tcPr>
          <w:p w:rsidR="00BD5CC8" w:rsidRDefault="00BD5CC8">
            <w:pPr>
              <w:rPr>
                <w:sz w:val="22"/>
              </w:rPr>
            </w:pPr>
            <w:r>
              <w:rPr>
                <w:sz w:val="22"/>
              </w:rPr>
              <w:t>18,000</w:t>
            </w:r>
          </w:p>
        </w:tc>
      </w:tr>
    </w:tbl>
    <w:p w:rsidR="00DA23DA" w:rsidRDefault="00DA23DA" w:rsidP="00DA23DA">
      <w:pPr>
        <w:rPr>
          <w:sz w:val="22"/>
        </w:rPr>
      </w:pPr>
    </w:p>
    <w:p w:rsidR="00DA23DA" w:rsidRDefault="00DA23DA" w:rsidP="00DA23DA">
      <w:pPr>
        <w:numPr>
          <w:ilvl w:val="0"/>
          <w:numId w:val="12"/>
        </w:numPr>
        <w:rPr>
          <w:sz w:val="22"/>
        </w:rPr>
      </w:pPr>
      <w:r>
        <w:rPr>
          <w:sz w:val="22"/>
        </w:rPr>
        <w:t xml:space="preserve">Per an existing contract, the </w:t>
      </w:r>
      <w:r w:rsidRPr="0007445B">
        <w:rPr>
          <w:b/>
          <w:sz w:val="22"/>
        </w:rPr>
        <w:t>cost of each chair</w:t>
      </w:r>
      <w:r>
        <w:rPr>
          <w:sz w:val="22"/>
        </w:rPr>
        <w:t xml:space="preserve"> is scheduled to increase by 5% on March 1, 20</w:t>
      </w:r>
      <w:r w:rsidR="00F829D6">
        <w:rPr>
          <w:sz w:val="22"/>
        </w:rPr>
        <w:t>1</w:t>
      </w:r>
      <w:r w:rsidR="00526F95">
        <w:rPr>
          <w:sz w:val="22"/>
        </w:rPr>
        <w:t>4</w:t>
      </w:r>
      <w:r>
        <w:rPr>
          <w:sz w:val="22"/>
        </w:rPr>
        <w:t>.  In addition, because of increasing costs of plastic webbing, the cost is anticipated to increase by an additional 5% on May 1, 20</w:t>
      </w:r>
      <w:r w:rsidR="00F829D6">
        <w:rPr>
          <w:sz w:val="22"/>
        </w:rPr>
        <w:t>1</w:t>
      </w:r>
      <w:r w:rsidR="00526F95">
        <w:rPr>
          <w:sz w:val="22"/>
        </w:rPr>
        <w:t>4</w:t>
      </w:r>
      <w:r>
        <w:rPr>
          <w:sz w:val="22"/>
        </w:rPr>
        <w:t>.  To offset these increases, the company plans to raise the sales price to $11.25 per unit beginning May 1, 20</w:t>
      </w:r>
      <w:r w:rsidR="00F829D6">
        <w:rPr>
          <w:sz w:val="22"/>
        </w:rPr>
        <w:t>1</w:t>
      </w:r>
      <w:r w:rsidR="00526F95">
        <w:rPr>
          <w:sz w:val="22"/>
        </w:rPr>
        <w:t>4</w:t>
      </w:r>
      <w:r>
        <w:rPr>
          <w:sz w:val="22"/>
        </w:rPr>
        <w:t>.  The sales forecast (i.e., estimated sales in units) takes this price increase into account.</w:t>
      </w:r>
    </w:p>
    <w:p w:rsidR="00BD5CC8" w:rsidRDefault="00BD5CC8">
      <w:pPr>
        <w:rPr>
          <w:sz w:val="22"/>
        </w:rPr>
      </w:pPr>
    </w:p>
    <w:p w:rsidR="00BD5CC8" w:rsidRDefault="00791148">
      <w:pPr>
        <w:numPr>
          <w:ilvl w:val="0"/>
          <w:numId w:val="12"/>
        </w:numPr>
        <w:rPr>
          <w:sz w:val="22"/>
        </w:rPr>
      </w:pPr>
      <w:r w:rsidRPr="0007445B">
        <w:rPr>
          <w:b/>
          <w:sz w:val="22"/>
        </w:rPr>
        <w:t>Thirty</w:t>
      </w:r>
      <w:r w:rsidR="00BD5CC8" w:rsidRPr="0007445B">
        <w:rPr>
          <w:b/>
          <w:sz w:val="22"/>
        </w:rPr>
        <w:t xml:space="preserve"> percent of any month’s sales are for cash, and the remaining </w:t>
      </w:r>
      <w:r w:rsidRPr="0007445B">
        <w:rPr>
          <w:b/>
          <w:sz w:val="22"/>
        </w:rPr>
        <w:t>7</w:t>
      </w:r>
      <w:r w:rsidR="00BD5CC8" w:rsidRPr="0007445B">
        <w:rPr>
          <w:b/>
          <w:sz w:val="22"/>
        </w:rPr>
        <w:t>0% are on credit</w:t>
      </w:r>
      <w:r w:rsidR="00BD5CC8">
        <w:rPr>
          <w:sz w:val="22"/>
        </w:rPr>
        <w:t>.  T</w:t>
      </w:r>
      <w:r w:rsidR="004E6E06">
        <w:rPr>
          <w:sz w:val="22"/>
        </w:rPr>
        <w:t>hirt</w:t>
      </w:r>
      <w:r>
        <w:rPr>
          <w:sz w:val="22"/>
        </w:rPr>
        <w:t>y</w:t>
      </w:r>
      <w:r w:rsidR="00BD5CC8">
        <w:rPr>
          <w:sz w:val="22"/>
        </w:rPr>
        <w:t xml:space="preserve"> percent of the credit sales are collected in the month of sale, </w:t>
      </w:r>
      <w:r w:rsidR="004E6E06">
        <w:rPr>
          <w:sz w:val="22"/>
        </w:rPr>
        <w:t>5</w:t>
      </w:r>
      <w:r>
        <w:rPr>
          <w:sz w:val="22"/>
        </w:rPr>
        <w:t>0</w:t>
      </w:r>
      <w:r w:rsidR="00BD5CC8">
        <w:rPr>
          <w:sz w:val="22"/>
        </w:rPr>
        <w:t>% are collected in the following month, and 1</w:t>
      </w:r>
      <w:r>
        <w:rPr>
          <w:sz w:val="22"/>
        </w:rPr>
        <w:t>6</w:t>
      </w:r>
      <w:r w:rsidR="00BD5CC8">
        <w:rPr>
          <w:sz w:val="22"/>
        </w:rPr>
        <w:t xml:space="preserve">% are collected in the second month after the sale.  The remaining receivables are deemed uncollectible.  Bad debts are written off in the month the debt is deemed uncollectible (e.g. if the sale is made in January and is not collected by the end of March, it is written off in March.)  No accrual for estimated bad debts is made in the month of sale. </w:t>
      </w:r>
    </w:p>
    <w:p w:rsidR="003B3382" w:rsidRDefault="003B3382" w:rsidP="003B3382">
      <w:pPr>
        <w:rPr>
          <w:sz w:val="22"/>
        </w:rPr>
      </w:pPr>
    </w:p>
    <w:p w:rsidR="003B3382" w:rsidRDefault="003B3382" w:rsidP="003B3382">
      <w:pPr>
        <w:rPr>
          <w:sz w:val="22"/>
        </w:rPr>
      </w:pPr>
    </w:p>
    <w:p w:rsidR="0007445B" w:rsidRPr="00AB3875" w:rsidRDefault="00BD5CC8" w:rsidP="0007445B">
      <w:pPr>
        <w:numPr>
          <w:ilvl w:val="0"/>
          <w:numId w:val="12"/>
        </w:numPr>
        <w:rPr>
          <w:sz w:val="22"/>
          <w:szCs w:val="22"/>
        </w:rPr>
      </w:pPr>
      <w:r w:rsidRPr="00AB3875">
        <w:rPr>
          <w:sz w:val="22"/>
          <w:szCs w:val="22"/>
        </w:rPr>
        <w:t xml:space="preserve">The firm’s policy regarding </w:t>
      </w:r>
      <w:r w:rsidRPr="00AB3875">
        <w:rPr>
          <w:b/>
          <w:sz w:val="22"/>
          <w:szCs w:val="22"/>
        </w:rPr>
        <w:t>inventory</w:t>
      </w:r>
      <w:r w:rsidRPr="00AB3875">
        <w:rPr>
          <w:sz w:val="22"/>
          <w:szCs w:val="22"/>
        </w:rPr>
        <w:t xml:space="preserve"> is to stock (i.e. have in ending inventory) </w:t>
      </w:r>
      <w:r w:rsidR="00791148" w:rsidRPr="00AB3875">
        <w:rPr>
          <w:sz w:val="22"/>
          <w:szCs w:val="22"/>
        </w:rPr>
        <w:t>4</w:t>
      </w:r>
      <w:r w:rsidRPr="00AB3875">
        <w:rPr>
          <w:sz w:val="22"/>
          <w:szCs w:val="22"/>
        </w:rPr>
        <w:t>0% of the forecasted demand in units (i.e., estimated sales) for the next month.</w:t>
      </w:r>
      <w:r w:rsidR="0007445B" w:rsidRPr="00AB3875">
        <w:rPr>
          <w:sz w:val="22"/>
          <w:szCs w:val="22"/>
        </w:rPr>
        <w:t xml:space="preserve"> Heron uses the first-in, first-out (</w:t>
      </w:r>
      <w:r w:rsidR="0007445B" w:rsidRPr="00AB3875">
        <w:rPr>
          <w:b/>
          <w:sz w:val="22"/>
          <w:szCs w:val="22"/>
        </w:rPr>
        <w:t>FIFO</w:t>
      </w:r>
      <w:r w:rsidR="0007445B" w:rsidRPr="00AB3875">
        <w:rPr>
          <w:sz w:val="22"/>
          <w:szCs w:val="22"/>
        </w:rPr>
        <w:t>) method in accounting for inventories.</w:t>
      </w:r>
    </w:p>
    <w:p w:rsidR="00BD5CC8" w:rsidRPr="0007445B" w:rsidRDefault="00BD5CC8">
      <w:pPr>
        <w:pStyle w:val="BodyText"/>
        <w:rPr>
          <w:b/>
        </w:rPr>
      </w:pPr>
    </w:p>
    <w:p w:rsidR="00BD5CC8" w:rsidRDefault="00791148">
      <w:pPr>
        <w:numPr>
          <w:ilvl w:val="0"/>
          <w:numId w:val="12"/>
        </w:numPr>
        <w:rPr>
          <w:sz w:val="22"/>
        </w:rPr>
      </w:pPr>
      <w:r w:rsidRPr="0007445B">
        <w:rPr>
          <w:sz w:val="22"/>
        </w:rPr>
        <w:t>Forty percent</w:t>
      </w:r>
      <w:r w:rsidR="00BD5CC8" w:rsidRPr="0007445B">
        <w:rPr>
          <w:sz w:val="22"/>
        </w:rPr>
        <w:t xml:space="preserve"> of the</w:t>
      </w:r>
      <w:r w:rsidR="00BD5CC8" w:rsidRPr="0007445B">
        <w:rPr>
          <w:b/>
          <w:sz w:val="22"/>
        </w:rPr>
        <w:t xml:space="preserve"> inventory</w:t>
      </w:r>
      <w:r w:rsidR="00BD5CC8">
        <w:rPr>
          <w:sz w:val="22"/>
        </w:rPr>
        <w:t xml:space="preserve"> </w:t>
      </w:r>
      <w:r w:rsidR="00BD5CC8" w:rsidRPr="0007445B">
        <w:rPr>
          <w:b/>
          <w:sz w:val="22"/>
        </w:rPr>
        <w:t>purchases</w:t>
      </w:r>
      <w:r w:rsidR="00BD5CC8">
        <w:rPr>
          <w:sz w:val="22"/>
        </w:rPr>
        <w:t xml:space="preserve"> are paid for in the month</w:t>
      </w:r>
      <w:r>
        <w:rPr>
          <w:sz w:val="22"/>
        </w:rPr>
        <w:t xml:space="preserve"> of purchase and the remaining 60%</w:t>
      </w:r>
      <w:r w:rsidR="00BD5CC8">
        <w:rPr>
          <w:sz w:val="22"/>
        </w:rPr>
        <w:t xml:space="preserve"> are paid in the following month (i.e. all of the previous month’s Accounts Payable are paid off by the end of any month.)</w:t>
      </w:r>
    </w:p>
    <w:p w:rsidR="00BD5CC8" w:rsidRDefault="00BD5CC8">
      <w:pPr>
        <w:rPr>
          <w:sz w:val="22"/>
        </w:rPr>
      </w:pPr>
    </w:p>
    <w:p w:rsidR="00BD5CC8" w:rsidRDefault="00BD5CC8">
      <w:pPr>
        <w:numPr>
          <w:ilvl w:val="0"/>
          <w:numId w:val="12"/>
        </w:numPr>
        <w:rPr>
          <w:sz w:val="22"/>
        </w:rPr>
      </w:pPr>
      <w:r>
        <w:rPr>
          <w:sz w:val="22"/>
        </w:rPr>
        <w:t xml:space="preserve">Per a prior contract, a cash payment of $50,000 for equipment previously purchased is due in January. </w:t>
      </w:r>
      <w:r w:rsidR="00C83A1B">
        <w:rPr>
          <w:sz w:val="22"/>
        </w:rPr>
        <w:t>Another payment of $30,000 is due in February.</w:t>
      </w:r>
      <w:r>
        <w:rPr>
          <w:sz w:val="22"/>
        </w:rPr>
        <w:t xml:space="preserve"> Depreciation on the equipment previously purchased is included in the overhead cost detailed in item </w:t>
      </w:r>
      <w:r w:rsidR="00B5165E">
        <w:rPr>
          <w:sz w:val="22"/>
        </w:rPr>
        <w:t>11 below</w:t>
      </w:r>
      <w:r>
        <w:rPr>
          <w:sz w:val="22"/>
        </w:rPr>
        <w:t>.  Also, dividends of $12,000 are to be paid in March.</w:t>
      </w:r>
    </w:p>
    <w:p w:rsidR="00BD5CC8" w:rsidRDefault="00BD5CC8">
      <w:pPr>
        <w:rPr>
          <w:sz w:val="22"/>
        </w:rPr>
      </w:pPr>
    </w:p>
    <w:p w:rsidR="003C74F6" w:rsidRDefault="003C74F6">
      <w:pPr>
        <w:rPr>
          <w:sz w:val="22"/>
        </w:rPr>
      </w:pPr>
    </w:p>
    <w:p w:rsidR="003C74F6" w:rsidRDefault="003C74F6">
      <w:pPr>
        <w:rPr>
          <w:sz w:val="22"/>
        </w:rPr>
      </w:pPr>
    </w:p>
    <w:p w:rsidR="003C74F6" w:rsidRDefault="003C74F6">
      <w:pPr>
        <w:rPr>
          <w:sz w:val="22"/>
        </w:rPr>
      </w:pPr>
    </w:p>
    <w:p w:rsidR="00BD5CC8" w:rsidRDefault="00BD5CC8">
      <w:pPr>
        <w:numPr>
          <w:ilvl w:val="0"/>
          <w:numId w:val="12"/>
        </w:numPr>
        <w:rPr>
          <w:sz w:val="22"/>
        </w:rPr>
      </w:pPr>
      <w:r>
        <w:rPr>
          <w:sz w:val="22"/>
        </w:rPr>
        <w:lastRenderedPageBreak/>
        <w:t xml:space="preserve">Monthly </w:t>
      </w:r>
      <w:r w:rsidR="00D90F47">
        <w:rPr>
          <w:b/>
          <w:sz w:val="22"/>
        </w:rPr>
        <w:t>operating</w:t>
      </w:r>
      <w:r w:rsidRPr="00A545D1">
        <w:rPr>
          <w:b/>
          <w:sz w:val="22"/>
        </w:rPr>
        <w:t xml:space="preserve"> expenses</w:t>
      </w:r>
      <w:r>
        <w:rPr>
          <w:sz w:val="22"/>
        </w:rPr>
        <w:t xml:space="preserve"> consist of the following (if these are cash expenses, they are paid when incurred):</w:t>
      </w:r>
    </w:p>
    <w:p w:rsidR="00BD5CC8" w:rsidRDefault="00BD5CC8">
      <w:pPr>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2070"/>
      </w:tblGrid>
      <w:tr w:rsidR="00BD5CC8">
        <w:tblPrEx>
          <w:tblCellMar>
            <w:top w:w="0" w:type="dxa"/>
            <w:bottom w:w="0" w:type="dxa"/>
          </w:tblCellMar>
        </w:tblPrEx>
        <w:tc>
          <w:tcPr>
            <w:tcW w:w="2970" w:type="dxa"/>
          </w:tcPr>
          <w:p w:rsidR="00BD5CC8" w:rsidRDefault="00BD5CC8">
            <w:pPr>
              <w:rPr>
                <w:sz w:val="22"/>
              </w:rPr>
            </w:pPr>
            <w:r>
              <w:rPr>
                <w:sz w:val="22"/>
              </w:rPr>
              <w:t>Salaries and Wages</w:t>
            </w:r>
          </w:p>
        </w:tc>
        <w:tc>
          <w:tcPr>
            <w:tcW w:w="2070" w:type="dxa"/>
          </w:tcPr>
          <w:p w:rsidR="00BD5CC8" w:rsidRDefault="00BD5CC8">
            <w:pPr>
              <w:rPr>
                <w:sz w:val="22"/>
              </w:rPr>
            </w:pPr>
            <w:r>
              <w:rPr>
                <w:sz w:val="22"/>
              </w:rPr>
              <w:t>$3,000</w:t>
            </w:r>
          </w:p>
        </w:tc>
      </w:tr>
      <w:tr w:rsidR="00BD5CC8">
        <w:tblPrEx>
          <w:tblCellMar>
            <w:top w:w="0" w:type="dxa"/>
            <w:bottom w:w="0" w:type="dxa"/>
          </w:tblCellMar>
        </w:tblPrEx>
        <w:tc>
          <w:tcPr>
            <w:tcW w:w="2970" w:type="dxa"/>
          </w:tcPr>
          <w:p w:rsidR="00BD5CC8" w:rsidRDefault="00BD5CC8">
            <w:pPr>
              <w:rPr>
                <w:sz w:val="22"/>
              </w:rPr>
            </w:pPr>
            <w:r>
              <w:rPr>
                <w:sz w:val="22"/>
              </w:rPr>
              <w:t>Sales Commissions</w:t>
            </w:r>
          </w:p>
        </w:tc>
        <w:tc>
          <w:tcPr>
            <w:tcW w:w="2070" w:type="dxa"/>
          </w:tcPr>
          <w:p w:rsidR="00BD5CC8" w:rsidRDefault="00BD5CC8">
            <w:pPr>
              <w:rPr>
                <w:sz w:val="22"/>
              </w:rPr>
            </w:pPr>
            <w:r>
              <w:rPr>
                <w:sz w:val="22"/>
              </w:rPr>
              <w:t>7% of sales revenue</w:t>
            </w:r>
          </w:p>
        </w:tc>
      </w:tr>
      <w:tr w:rsidR="00BD5CC8">
        <w:tblPrEx>
          <w:tblCellMar>
            <w:top w:w="0" w:type="dxa"/>
            <w:bottom w:w="0" w:type="dxa"/>
          </w:tblCellMar>
        </w:tblPrEx>
        <w:tc>
          <w:tcPr>
            <w:tcW w:w="2970" w:type="dxa"/>
          </w:tcPr>
          <w:p w:rsidR="00BD5CC8" w:rsidRDefault="00BD5CC8">
            <w:pPr>
              <w:rPr>
                <w:sz w:val="22"/>
              </w:rPr>
            </w:pPr>
            <w:r>
              <w:rPr>
                <w:sz w:val="22"/>
              </w:rPr>
              <w:t>Rent</w:t>
            </w:r>
          </w:p>
        </w:tc>
        <w:tc>
          <w:tcPr>
            <w:tcW w:w="2070" w:type="dxa"/>
          </w:tcPr>
          <w:p w:rsidR="00BD5CC8" w:rsidRDefault="00C83A1B">
            <w:pPr>
              <w:rPr>
                <w:sz w:val="22"/>
              </w:rPr>
            </w:pPr>
            <w:r>
              <w:rPr>
                <w:sz w:val="22"/>
              </w:rPr>
              <w:t>$8</w:t>
            </w:r>
            <w:r w:rsidR="00BD5CC8">
              <w:rPr>
                <w:sz w:val="22"/>
              </w:rPr>
              <w:t>,000</w:t>
            </w:r>
          </w:p>
        </w:tc>
      </w:tr>
      <w:tr w:rsidR="00BD5CC8">
        <w:tblPrEx>
          <w:tblCellMar>
            <w:top w:w="0" w:type="dxa"/>
            <w:bottom w:w="0" w:type="dxa"/>
          </w:tblCellMar>
        </w:tblPrEx>
        <w:tc>
          <w:tcPr>
            <w:tcW w:w="2970" w:type="dxa"/>
          </w:tcPr>
          <w:p w:rsidR="00BD5CC8" w:rsidRDefault="00BD5CC8">
            <w:pPr>
              <w:rPr>
                <w:sz w:val="22"/>
              </w:rPr>
            </w:pPr>
            <w:r>
              <w:rPr>
                <w:sz w:val="22"/>
              </w:rPr>
              <w:t>Other Variable Cash Expenses</w:t>
            </w:r>
          </w:p>
        </w:tc>
        <w:tc>
          <w:tcPr>
            <w:tcW w:w="2070" w:type="dxa"/>
          </w:tcPr>
          <w:p w:rsidR="00BD5CC8" w:rsidRDefault="00791148">
            <w:pPr>
              <w:rPr>
                <w:sz w:val="22"/>
              </w:rPr>
            </w:pPr>
            <w:r>
              <w:rPr>
                <w:sz w:val="22"/>
              </w:rPr>
              <w:t>6</w:t>
            </w:r>
            <w:r w:rsidR="00BD5CC8">
              <w:rPr>
                <w:sz w:val="22"/>
              </w:rPr>
              <w:t>% of sales revenue</w:t>
            </w:r>
          </w:p>
        </w:tc>
      </w:tr>
      <w:tr w:rsidR="00BD5CC8">
        <w:tblPrEx>
          <w:tblCellMar>
            <w:top w:w="0" w:type="dxa"/>
            <w:bottom w:w="0" w:type="dxa"/>
          </w:tblCellMar>
        </w:tblPrEx>
        <w:tc>
          <w:tcPr>
            <w:tcW w:w="2970" w:type="dxa"/>
          </w:tcPr>
          <w:p w:rsidR="00BD5CC8" w:rsidRDefault="00BD5CC8">
            <w:pPr>
              <w:rPr>
                <w:sz w:val="22"/>
              </w:rPr>
            </w:pPr>
            <w:r>
              <w:rPr>
                <w:sz w:val="22"/>
              </w:rPr>
              <w:t>Supplies Expense</w:t>
            </w:r>
            <w:r w:rsidR="001261C9">
              <w:rPr>
                <w:sz w:val="22"/>
              </w:rPr>
              <w:t>: See note</w:t>
            </w:r>
          </w:p>
        </w:tc>
        <w:tc>
          <w:tcPr>
            <w:tcW w:w="2070" w:type="dxa"/>
          </w:tcPr>
          <w:p w:rsidR="00BD5CC8" w:rsidRDefault="00C83A1B">
            <w:pPr>
              <w:rPr>
                <w:sz w:val="22"/>
              </w:rPr>
            </w:pPr>
            <w:r>
              <w:rPr>
                <w:sz w:val="22"/>
              </w:rPr>
              <w:t>$2</w:t>
            </w:r>
            <w:r w:rsidR="00BD5CC8">
              <w:rPr>
                <w:sz w:val="22"/>
              </w:rPr>
              <w:t>,000</w:t>
            </w:r>
          </w:p>
        </w:tc>
      </w:tr>
      <w:tr w:rsidR="00B5165E">
        <w:tblPrEx>
          <w:tblCellMar>
            <w:top w:w="0" w:type="dxa"/>
            <w:bottom w:w="0" w:type="dxa"/>
          </w:tblCellMar>
        </w:tblPrEx>
        <w:tc>
          <w:tcPr>
            <w:tcW w:w="2970" w:type="dxa"/>
          </w:tcPr>
          <w:p w:rsidR="00B5165E" w:rsidRDefault="00B5165E">
            <w:pPr>
              <w:rPr>
                <w:sz w:val="22"/>
              </w:rPr>
            </w:pPr>
            <w:r>
              <w:rPr>
                <w:sz w:val="22"/>
              </w:rPr>
              <w:t xml:space="preserve">Other: See note </w:t>
            </w:r>
          </w:p>
        </w:tc>
        <w:tc>
          <w:tcPr>
            <w:tcW w:w="2070" w:type="dxa"/>
          </w:tcPr>
          <w:p w:rsidR="00B5165E" w:rsidRDefault="00B5165E">
            <w:pPr>
              <w:rPr>
                <w:sz w:val="22"/>
              </w:rPr>
            </w:pPr>
            <w:r>
              <w:rPr>
                <w:sz w:val="22"/>
              </w:rPr>
              <w:t>$48,000</w:t>
            </w:r>
          </w:p>
        </w:tc>
      </w:tr>
    </w:tbl>
    <w:p w:rsidR="00BD5CC8" w:rsidRDefault="00BD5CC8"/>
    <w:p w:rsidR="00B5165E" w:rsidRDefault="00B5165E">
      <w:pPr>
        <w:pStyle w:val="BodyText"/>
        <w:ind w:left="360"/>
      </w:pPr>
      <w:r w:rsidRPr="001261C9">
        <w:rPr>
          <w:b/>
        </w:rPr>
        <w:t>Note</w:t>
      </w:r>
      <w:r>
        <w:t xml:space="preserve">:  </w:t>
      </w:r>
      <w:r w:rsidR="00BD5CC8">
        <w:t xml:space="preserve">Other general and administrative overhead is expected to be $48,000 per month.  Of this amount, $24,000 represents depreciation and other non-cash expenses. </w:t>
      </w:r>
      <w:r w:rsidR="001261C9">
        <w:t>The company maintains on hand one month’s worth of supplies.</w:t>
      </w:r>
      <w:r w:rsidR="00BD5CC8">
        <w:t xml:space="preserve"> </w:t>
      </w:r>
    </w:p>
    <w:p w:rsidR="00B5165E" w:rsidRDefault="00B5165E">
      <w:pPr>
        <w:pStyle w:val="BodyText"/>
        <w:ind w:left="360"/>
      </w:pPr>
    </w:p>
    <w:p w:rsidR="00BD5CC8" w:rsidRDefault="00BD5CC8">
      <w:pPr>
        <w:pStyle w:val="BodyText"/>
        <w:numPr>
          <w:ilvl w:val="0"/>
          <w:numId w:val="12"/>
        </w:numPr>
      </w:pPr>
      <w:r>
        <w:t xml:space="preserve">The company must maintain a </w:t>
      </w:r>
      <w:r w:rsidRPr="00A545D1">
        <w:rPr>
          <w:b/>
        </w:rPr>
        <w:t>minimum cash balance</w:t>
      </w:r>
      <w:r>
        <w:t xml:space="preserve"> of $15,000.  Borrowing can make up shortfalls.  For simplicity, assume that the bank will only lend (and accept repayments) in </w:t>
      </w:r>
      <w:r w:rsidRPr="00DA23DA">
        <w:rPr>
          <w:b/>
        </w:rPr>
        <w:t>$1,000 increments</w:t>
      </w:r>
      <w:r>
        <w:t>.  Ignore interest on the loan in your calculations, but minimize the amount borrowed and pay off any loans as soon as possible.</w:t>
      </w:r>
    </w:p>
    <w:p w:rsidR="00BD5CC8" w:rsidRDefault="00BD5CC8">
      <w:pPr>
        <w:rPr>
          <w:sz w:val="22"/>
        </w:rPr>
      </w:pPr>
    </w:p>
    <w:p w:rsidR="00BD5CC8" w:rsidRDefault="00BD5CC8">
      <w:pPr>
        <w:numPr>
          <w:ilvl w:val="0"/>
          <w:numId w:val="12"/>
        </w:numPr>
        <w:rPr>
          <w:sz w:val="22"/>
        </w:rPr>
      </w:pPr>
      <w:r>
        <w:rPr>
          <w:sz w:val="22"/>
        </w:rPr>
        <w:t>Cash</w:t>
      </w:r>
      <w:r w:rsidR="00A545D1">
        <w:rPr>
          <w:sz w:val="22"/>
        </w:rPr>
        <w:t xml:space="preserve"> on hand as of December 31, 20</w:t>
      </w:r>
      <w:r w:rsidR="00526F95">
        <w:rPr>
          <w:sz w:val="22"/>
        </w:rPr>
        <w:t>13</w:t>
      </w:r>
      <w:r>
        <w:rPr>
          <w:sz w:val="22"/>
        </w:rPr>
        <w:t xml:space="preserve"> is expected to be</w:t>
      </w:r>
      <w:r w:rsidR="00791148">
        <w:rPr>
          <w:sz w:val="22"/>
        </w:rPr>
        <w:t xml:space="preserve"> $</w:t>
      </w:r>
      <w:r w:rsidR="00C83A1B">
        <w:rPr>
          <w:sz w:val="22"/>
        </w:rPr>
        <w:t>15</w:t>
      </w:r>
      <w:r>
        <w:rPr>
          <w:sz w:val="22"/>
        </w:rPr>
        <w:t>,000.  In addition, there will be no notes payable as of this date.</w:t>
      </w:r>
    </w:p>
    <w:p w:rsidR="00A545D1" w:rsidRDefault="00A545D1" w:rsidP="00A545D1">
      <w:pPr>
        <w:rPr>
          <w:sz w:val="22"/>
        </w:rPr>
      </w:pPr>
    </w:p>
    <w:p w:rsidR="00A545D1" w:rsidRDefault="00A545D1">
      <w:pPr>
        <w:numPr>
          <w:ilvl w:val="0"/>
          <w:numId w:val="12"/>
        </w:numPr>
        <w:rPr>
          <w:sz w:val="22"/>
        </w:rPr>
      </w:pPr>
      <w:r>
        <w:rPr>
          <w:sz w:val="22"/>
        </w:rPr>
        <w:t xml:space="preserve">See below the other </w:t>
      </w:r>
      <w:r w:rsidRPr="00A545D1">
        <w:rPr>
          <w:b/>
          <w:sz w:val="22"/>
        </w:rPr>
        <w:t>Balance Sheet</w:t>
      </w:r>
      <w:r>
        <w:rPr>
          <w:sz w:val="22"/>
        </w:rPr>
        <w:t xml:space="preserve"> accounts with their expected balances as of December 31, 20</w:t>
      </w:r>
      <w:r w:rsidR="00526F95">
        <w:rPr>
          <w:sz w:val="22"/>
        </w:rPr>
        <w:t>13</w:t>
      </w:r>
      <w:r>
        <w:rPr>
          <w:sz w:val="22"/>
        </w:rPr>
        <w:t>:</w:t>
      </w:r>
    </w:p>
    <w:p w:rsidR="001261C9" w:rsidRDefault="001261C9" w:rsidP="00A545D1">
      <w:pPr>
        <w:numPr>
          <w:ilvl w:val="1"/>
          <w:numId w:val="12"/>
        </w:numPr>
        <w:rPr>
          <w:sz w:val="22"/>
        </w:rPr>
      </w:pPr>
      <w:r>
        <w:rPr>
          <w:sz w:val="22"/>
        </w:rPr>
        <w:t>Supplies..............................................$     2,000</w:t>
      </w:r>
    </w:p>
    <w:p w:rsidR="00A545D1" w:rsidRDefault="00A545D1" w:rsidP="00A545D1">
      <w:pPr>
        <w:numPr>
          <w:ilvl w:val="1"/>
          <w:numId w:val="12"/>
        </w:numPr>
        <w:rPr>
          <w:sz w:val="22"/>
        </w:rPr>
      </w:pPr>
      <w:r>
        <w:rPr>
          <w:sz w:val="22"/>
        </w:rPr>
        <w:t>Property, Plant and Equipment...........</w:t>
      </w:r>
      <w:r w:rsidR="001261C9">
        <w:rPr>
          <w:sz w:val="22"/>
        </w:rPr>
        <w:t>1,0</w:t>
      </w:r>
      <w:r>
        <w:rPr>
          <w:sz w:val="22"/>
        </w:rPr>
        <w:t>50,000</w:t>
      </w:r>
    </w:p>
    <w:p w:rsidR="00A545D1" w:rsidRDefault="00A545D1" w:rsidP="00A545D1">
      <w:pPr>
        <w:numPr>
          <w:ilvl w:val="1"/>
          <w:numId w:val="12"/>
        </w:numPr>
        <w:rPr>
          <w:sz w:val="22"/>
        </w:rPr>
      </w:pPr>
      <w:r>
        <w:rPr>
          <w:sz w:val="22"/>
        </w:rPr>
        <w:t>Accumulated Depreciation.................</w:t>
      </w:r>
      <w:r w:rsidR="001261C9">
        <w:rPr>
          <w:sz w:val="22"/>
        </w:rPr>
        <w:t xml:space="preserve">   </w:t>
      </w:r>
      <w:r w:rsidR="00D90F47">
        <w:rPr>
          <w:sz w:val="22"/>
        </w:rPr>
        <w:t>526,475</w:t>
      </w:r>
    </w:p>
    <w:p w:rsidR="001261C9" w:rsidRDefault="001261C9" w:rsidP="00A545D1">
      <w:pPr>
        <w:numPr>
          <w:ilvl w:val="1"/>
          <w:numId w:val="12"/>
        </w:numPr>
        <w:rPr>
          <w:sz w:val="22"/>
        </w:rPr>
      </w:pPr>
      <w:r>
        <w:rPr>
          <w:sz w:val="22"/>
        </w:rPr>
        <w:t xml:space="preserve">Common Stock...................................   </w:t>
      </w:r>
      <w:r w:rsidR="00357391">
        <w:rPr>
          <w:sz w:val="22"/>
        </w:rPr>
        <w:t>200,000</w:t>
      </w:r>
    </w:p>
    <w:p w:rsidR="00357391" w:rsidRDefault="00357391" w:rsidP="00D64967">
      <w:pPr>
        <w:numPr>
          <w:ilvl w:val="1"/>
          <w:numId w:val="12"/>
        </w:numPr>
        <w:pBdr>
          <w:bottom w:val="single" w:sz="4" w:space="1" w:color="auto"/>
        </w:pBdr>
        <w:rPr>
          <w:sz w:val="22"/>
        </w:rPr>
      </w:pPr>
      <w:r>
        <w:rPr>
          <w:sz w:val="22"/>
        </w:rPr>
        <w:t>Retained Earnings..............................    322,811</w:t>
      </w:r>
    </w:p>
    <w:p w:rsidR="00A545D1" w:rsidRDefault="00A545D1" w:rsidP="00A545D1">
      <w:pPr>
        <w:rPr>
          <w:sz w:val="22"/>
        </w:rPr>
      </w:pPr>
    </w:p>
    <w:p w:rsidR="00BD5CC8" w:rsidRDefault="00BD5CC8">
      <w:pPr>
        <w:rPr>
          <w:sz w:val="22"/>
        </w:rPr>
      </w:pPr>
    </w:p>
    <w:p w:rsidR="00BD5CC8" w:rsidRDefault="00BD5CC8">
      <w:pPr>
        <w:rPr>
          <w:sz w:val="22"/>
        </w:rPr>
      </w:pPr>
    </w:p>
    <w:p w:rsidR="00BD5CC8" w:rsidRDefault="00BD5CC8">
      <w:pPr>
        <w:rPr>
          <w:sz w:val="22"/>
        </w:rPr>
      </w:pPr>
    </w:p>
    <w:p w:rsidR="00BD5CC8" w:rsidRDefault="00BD5CC8">
      <w:pPr>
        <w:rPr>
          <w:sz w:val="22"/>
        </w:rPr>
      </w:pPr>
    </w:p>
    <w:p w:rsidR="00BD5CC8" w:rsidRDefault="00BD5CC8">
      <w:pPr>
        <w:rPr>
          <w:sz w:val="22"/>
        </w:rPr>
      </w:pPr>
    </w:p>
    <w:p w:rsidR="00BD5CC8" w:rsidRDefault="00BD5CC8">
      <w:pPr>
        <w:pStyle w:val="BodyText"/>
      </w:pPr>
    </w:p>
    <w:p w:rsidR="00BD5CC8" w:rsidRDefault="00BD5CC8">
      <w:pPr>
        <w:rPr>
          <w:sz w:val="24"/>
        </w:rPr>
      </w:pPr>
      <w:r>
        <w:rPr>
          <w:sz w:val="22"/>
        </w:rPr>
        <w:t xml:space="preserve"> </w:t>
      </w:r>
    </w:p>
    <w:p w:rsidR="00BD5CC8" w:rsidRDefault="00BD5CC8">
      <w:pPr>
        <w:rPr>
          <w:sz w:val="24"/>
        </w:rPr>
      </w:pPr>
    </w:p>
    <w:p w:rsidR="00BD5CC8" w:rsidRDefault="00BD5CC8">
      <w:pPr>
        <w:rPr>
          <w:sz w:val="24"/>
        </w:rPr>
      </w:pPr>
    </w:p>
    <w:p w:rsidR="0035792D" w:rsidRPr="001975EC" w:rsidRDefault="0035792D" w:rsidP="00F829D6">
      <w:pPr>
        <w:pStyle w:val="Heading2"/>
        <w:rPr>
          <w:b w:val="0"/>
          <w:szCs w:val="22"/>
        </w:rPr>
      </w:pPr>
    </w:p>
    <w:p w:rsidR="00BD5CC8" w:rsidRDefault="00BD5CC8">
      <w:pPr>
        <w:rPr>
          <w:sz w:val="24"/>
        </w:rPr>
      </w:pPr>
    </w:p>
    <w:sectPr w:rsidR="00BD5CC8" w:rsidSect="00162754">
      <w:footerReference w:type="default" r:id="rId7"/>
      <w:pgSz w:w="12240" w:h="15840"/>
      <w:pgMar w:top="1440" w:right="1296"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C28" w:rsidRDefault="008E0C28">
      <w:r>
        <w:separator/>
      </w:r>
    </w:p>
  </w:endnote>
  <w:endnote w:type="continuationSeparator" w:id="0">
    <w:p w:rsidR="008E0C28" w:rsidRDefault="008E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7B7" w:rsidRPr="003B3382" w:rsidRDefault="00AF27B7" w:rsidP="003B3382">
    <w:pPr>
      <w:pStyle w:val="Footer"/>
      <w:jc w:val="center"/>
      <w:rPr>
        <w:szCs w:val="18"/>
      </w:rPr>
    </w:pPr>
    <w:r w:rsidRPr="003B3382">
      <w:rPr>
        <w:szCs w:val="18"/>
      </w:rPr>
      <w:t xml:space="preserve">Page </w:t>
    </w:r>
    <w:r w:rsidRPr="003B3382">
      <w:rPr>
        <w:szCs w:val="18"/>
      </w:rPr>
      <w:fldChar w:fldCharType="begin"/>
    </w:r>
    <w:r w:rsidRPr="003B3382">
      <w:rPr>
        <w:szCs w:val="18"/>
      </w:rPr>
      <w:instrText xml:space="preserve"> PAGE </w:instrText>
    </w:r>
    <w:r>
      <w:rPr>
        <w:szCs w:val="18"/>
      </w:rPr>
      <w:fldChar w:fldCharType="separate"/>
    </w:r>
    <w:r w:rsidR="00C34B5A">
      <w:rPr>
        <w:noProof/>
        <w:szCs w:val="18"/>
      </w:rPr>
      <w:t>3</w:t>
    </w:r>
    <w:r w:rsidRPr="003B3382">
      <w:rPr>
        <w:szCs w:val="18"/>
      </w:rPr>
      <w:fldChar w:fldCharType="end"/>
    </w:r>
    <w:r w:rsidRPr="003B3382">
      <w:rPr>
        <w:szCs w:val="18"/>
      </w:rPr>
      <w:t xml:space="preserve"> of </w:t>
    </w:r>
    <w:r w:rsidRPr="003B3382">
      <w:rPr>
        <w:szCs w:val="18"/>
      </w:rPr>
      <w:fldChar w:fldCharType="begin"/>
    </w:r>
    <w:r w:rsidRPr="003B3382">
      <w:rPr>
        <w:szCs w:val="18"/>
      </w:rPr>
      <w:instrText xml:space="preserve"> NUMPAGES </w:instrText>
    </w:r>
    <w:r>
      <w:rPr>
        <w:szCs w:val="18"/>
      </w:rPr>
      <w:fldChar w:fldCharType="separate"/>
    </w:r>
    <w:r w:rsidR="00C34B5A">
      <w:rPr>
        <w:noProof/>
        <w:szCs w:val="18"/>
      </w:rPr>
      <w:t>3</w:t>
    </w:r>
    <w:r w:rsidRPr="003B3382">
      <w:rPr>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C28" w:rsidRDefault="008E0C28">
      <w:r>
        <w:separator/>
      </w:r>
    </w:p>
  </w:footnote>
  <w:footnote w:type="continuationSeparator" w:id="0">
    <w:p w:rsidR="008E0C28" w:rsidRDefault="008E0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5E0E"/>
    <w:multiLevelType w:val="hybridMultilevel"/>
    <w:tmpl w:val="35A42C6A"/>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E64378"/>
    <w:multiLevelType w:val="hybridMultilevel"/>
    <w:tmpl w:val="77B2794C"/>
    <w:lvl w:ilvl="0" w:tplc="D41E08D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4A3313"/>
    <w:multiLevelType w:val="hybridMultilevel"/>
    <w:tmpl w:val="2278DA84"/>
    <w:lvl w:ilvl="0" w:tplc="944482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A2275"/>
    <w:multiLevelType w:val="hybridMultilevel"/>
    <w:tmpl w:val="53E4E7D0"/>
    <w:lvl w:ilvl="0" w:tplc="78700036">
      <w:start w:val="1"/>
      <w:numFmt w:val="decimal"/>
      <w:lvlText w:val="%1."/>
      <w:lvlJc w:val="left"/>
      <w:pPr>
        <w:tabs>
          <w:tab w:val="num" w:pos="360"/>
        </w:tabs>
        <w:ind w:left="360" w:hanging="360"/>
      </w:pPr>
      <w:rPr>
        <w:rFonts w:hint="default"/>
      </w:rPr>
    </w:lvl>
    <w:lvl w:ilvl="1" w:tplc="8916B07E">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F64DE2"/>
    <w:multiLevelType w:val="hybridMultilevel"/>
    <w:tmpl w:val="29C48702"/>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4061A2"/>
    <w:multiLevelType w:val="hybridMultilevel"/>
    <w:tmpl w:val="A96E8648"/>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9B120C"/>
    <w:multiLevelType w:val="hybridMultilevel"/>
    <w:tmpl w:val="22B87796"/>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343496"/>
    <w:multiLevelType w:val="hybridMultilevel"/>
    <w:tmpl w:val="45FC5C08"/>
    <w:lvl w:ilvl="0" w:tplc="944482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D1ACB"/>
    <w:multiLevelType w:val="hybridMultilevel"/>
    <w:tmpl w:val="357A0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7324E6"/>
    <w:multiLevelType w:val="hybridMultilevel"/>
    <w:tmpl w:val="83DCF1C0"/>
    <w:lvl w:ilvl="0" w:tplc="944482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410D05"/>
    <w:multiLevelType w:val="hybridMultilevel"/>
    <w:tmpl w:val="4BAC9174"/>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8E5BED"/>
    <w:multiLevelType w:val="hybridMultilevel"/>
    <w:tmpl w:val="AA04FF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C674A45"/>
    <w:multiLevelType w:val="hybridMultilevel"/>
    <w:tmpl w:val="1450B9D4"/>
    <w:lvl w:ilvl="0" w:tplc="0409000F">
      <w:start w:val="1"/>
      <w:numFmt w:val="decimal"/>
      <w:lvlText w:val="%1."/>
      <w:lvlJc w:val="left"/>
      <w:pPr>
        <w:tabs>
          <w:tab w:val="num" w:pos="720"/>
        </w:tabs>
        <w:ind w:left="720" w:hanging="360"/>
      </w:pPr>
    </w:lvl>
    <w:lvl w:ilvl="1" w:tplc="AF2A8E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B618C6"/>
    <w:multiLevelType w:val="hybridMultilevel"/>
    <w:tmpl w:val="2C76340A"/>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CB0E53"/>
    <w:multiLevelType w:val="hybridMultilevel"/>
    <w:tmpl w:val="813A31E0"/>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B6012C"/>
    <w:multiLevelType w:val="hybridMultilevel"/>
    <w:tmpl w:val="38964166"/>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932F5F"/>
    <w:multiLevelType w:val="hybridMultilevel"/>
    <w:tmpl w:val="0264F3D6"/>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CF3A33"/>
    <w:multiLevelType w:val="hybridMultilevel"/>
    <w:tmpl w:val="D6F0657C"/>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943C27"/>
    <w:multiLevelType w:val="hybridMultilevel"/>
    <w:tmpl w:val="D774333A"/>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636F85"/>
    <w:multiLevelType w:val="hybridMultilevel"/>
    <w:tmpl w:val="402C5CA8"/>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7E3C95"/>
    <w:multiLevelType w:val="hybridMultilevel"/>
    <w:tmpl w:val="BCA6B6E8"/>
    <w:lvl w:ilvl="0" w:tplc="787000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BC4876"/>
    <w:multiLevelType w:val="hybridMultilevel"/>
    <w:tmpl w:val="49641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1"/>
  </w:num>
  <w:num w:numId="3">
    <w:abstractNumId w:val="8"/>
  </w:num>
  <w:num w:numId="4">
    <w:abstractNumId w:val="11"/>
  </w:num>
  <w:num w:numId="5">
    <w:abstractNumId w:val="12"/>
  </w:num>
  <w:num w:numId="6">
    <w:abstractNumId w:val="10"/>
  </w:num>
  <w:num w:numId="7">
    <w:abstractNumId w:val="15"/>
  </w:num>
  <w:num w:numId="8">
    <w:abstractNumId w:val="5"/>
  </w:num>
  <w:num w:numId="9">
    <w:abstractNumId w:val="19"/>
  </w:num>
  <w:num w:numId="10">
    <w:abstractNumId w:val="0"/>
  </w:num>
  <w:num w:numId="11">
    <w:abstractNumId w:val="6"/>
  </w:num>
  <w:num w:numId="12">
    <w:abstractNumId w:val="3"/>
  </w:num>
  <w:num w:numId="13">
    <w:abstractNumId w:val="4"/>
  </w:num>
  <w:num w:numId="14">
    <w:abstractNumId w:val="18"/>
  </w:num>
  <w:num w:numId="15">
    <w:abstractNumId w:val="14"/>
  </w:num>
  <w:num w:numId="16">
    <w:abstractNumId w:val="17"/>
  </w:num>
  <w:num w:numId="17">
    <w:abstractNumId w:val="16"/>
  </w:num>
  <w:num w:numId="18">
    <w:abstractNumId w:val="20"/>
  </w:num>
  <w:num w:numId="19">
    <w:abstractNumId w:val="13"/>
  </w:num>
  <w:num w:numId="20">
    <w:abstractNumId w:val="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C8"/>
    <w:rsid w:val="00052DC8"/>
    <w:rsid w:val="0007445B"/>
    <w:rsid w:val="001261C9"/>
    <w:rsid w:val="00131EE9"/>
    <w:rsid w:val="00147FE2"/>
    <w:rsid w:val="00162754"/>
    <w:rsid w:val="00171B66"/>
    <w:rsid w:val="00194141"/>
    <w:rsid w:val="001975EC"/>
    <w:rsid w:val="001B3BA7"/>
    <w:rsid w:val="001B6F18"/>
    <w:rsid w:val="001C5662"/>
    <w:rsid w:val="00243321"/>
    <w:rsid w:val="00243A4E"/>
    <w:rsid w:val="00266A04"/>
    <w:rsid w:val="00290563"/>
    <w:rsid w:val="00293BBF"/>
    <w:rsid w:val="00317C4E"/>
    <w:rsid w:val="00357391"/>
    <w:rsid w:val="0035792D"/>
    <w:rsid w:val="003B3382"/>
    <w:rsid w:val="003C74F6"/>
    <w:rsid w:val="00467B7D"/>
    <w:rsid w:val="004E6E06"/>
    <w:rsid w:val="00505703"/>
    <w:rsid w:val="00526F95"/>
    <w:rsid w:val="00554237"/>
    <w:rsid w:val="00562609"/>
    <w:rsid w:val="00621A21"/>
    <w:rsid w:val="00661541"/>
    <w:rsid w:val="006902E3"/>
    <w:rsid w:val="006A14A1"/>
    <w:rsid w:val="00763793"/>
    <w:rsid w:val="00766175"/>
    <w:rsid w:val="0078076C"/>
    <w:rsid w:val="00791148"/>
    <w:rsid w:val="00800510"/>
    <w:rsid w:val="008507CB"/>
    <w:rsid w:val="00863015"/>
    <w:rsid w:val="008668D3"/>
    <w:rsid w:val="008A2CE3"/>
    <w:rsid w:val="008B3B93"/>
    <w:rsid w:val="008E0C28"/>
    <w:rsid w:val="00904EB5"/>
    <w:rsid w:val="00987148"/>
    <w:rsid w:val="00A43F2F"/>
    <w:rsid w:val="00A47F8A"/>
    <w:rsid w:val="00A545D1"/>
    <w:rsid w:val="00A711AC"/>
    <w:rsid w:val="00A922EE"/>
    <w:rsid w:val="00A94EBB"/>
    <w:rsid w:val="00AB3875"/>
    <w:rsid w:val="00AD1B77"/>
    <w:rsid w:val="00AE7DC3"/>
    <w:rsid w:val="00AF27B7"/>
    <w:rsid w:val="00B056F9"/>
    <w:rsid w:val="00B24D7E"/>
    <w:rsid w:val="00B5165E"/>
    <w:rsid w:val="00B6051F"/>
    <w:rsid w:val="00BB3DEC"/>
    <w:rsid w:val="00BD5CC8"/>
    <w:rsid w:val="00BE3E32"/>
    <w:rsid w:val="00BE5271"/>
    <w:rsid w:val="00BE62E3"/>
    <w:rsid w:val="00BF4DCF"/>
    <w:rsid w:val="00C34B5A"/>
    <w:rsid w:val="00C429D1"/>
    <w:rsid w:val="00C563C0"/>
    <w:rsid w:val="00C67C9B"/>
    <w:rsid w:val="00C7213A"/>
    <w:rsid w:val="00C75A7C"/>
    <w:rsid w:val="00C83A1B"/>
    <w:rsid w:val="00C95F23"/>
    <w:rsid w:val="00CA6CE5"/>
    <w:rsid w:val="00CD3A23"/>
    <w:rsid w:val="00D015BC"/>
    <w:rsid w:val="00D11291"/>
    <w:rsid w:val="00D16A65"/>
    <w:rsid w:val="00D64967"/>
    <w:rsid w:val="00D84CF0"/>
    <w:rsid w:val="00D90F47"/>
    <w:rsid w:val="00DA23DA"/>
    <w:rsid w:val="00EC07B1"/>
    <w:rsid w:val="00F048E8"/>
    <w:rsid w:val="00F5558D"/>
    <w:rsid w:val="00F829D6"/>
    <w:rsid w:val="00F97D60"/>
    <w:rsid w:val="00FA4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CDB337-1762-4F97-8550-DB97B4A0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outlineLvl w:val="1"/>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BodyText">
    <w:name w:val="Body Text"/>
    <w:basedOn w:val="Normal"/>
    <w:rPr>
      <w:sz w:val="22"/>
    </w:rPr>
  </w:style>
  <w:style w:type="paragraph" w:styleId="BodyTextIndent2">
    <w:name w:val="Body Text Indent 2"/>
    <w:basedOn w:val="Normal"/>
    <w:pPr>
      <w:ind w:left="720"/>
    </w:pPr>
    <w:rPr>
      <w:sz w:val="22"/>
    </w:rPr>
  </w:style>
  <w:style w:type="paragraph" w:styleId="Header">
    <w:name w:val="header"/>
    <w:basedOn w:val="Normal"/>
    <w:rsid w:val="00F048E8"/>
    <w:pPr>
      <w:tabs>
        <w:tab w:val="center" w:pos="4320"/>
        <w:tab w:val="right" w:pos="8640"/>
      </w:tabs>
    </w:pPr>
  </w:style>
  <w:style w:type="paragraph" w:styleId="Footer">
    <w:name w:val="footer"/>
    <w:basedOn w:val="Normal"/>
    <w:rsid w:val="00F048E8"/>
    <w:pPr>
      <w:tabs>
        <w:tab w:val="center" w:pos="4320"/>
        <w:tab w:val="right" w:pos="8640"/>
      </w:tabs>
    </w:pPr>
  </w:style>
  <w:style w:type="character" w:styleId="PageNumber">
    <w:name w:val="page number"/>
    <w:basedOn w:val="DefaultParagraphFont"/>
    <w:rsid w:val="00F048E8"/>
  </w:style>
  <w:style w:type="paragraph" w:styleId="BalloonText">
    <w:name w:val="Balloon Text"/>
    <w:basedOn w:val="Normal"/>
    <w:semiHidden/>
    <w:rsid w:val="00763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822</Words>
  <Characters>4688</Characters>
  <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ACCOUNTING 2302</vt:lpstr>
    </vt:vector>
  </TitlesOfParts>
  <Company/>
  <LinksUpToDate>false</LinksUpToDate>
  <CharactersWithSpaces>5500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