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D84" w:rsidRDefault="009F2D84">
      <w:bookmarkStart w:id="0" w:name="_GoBack"/>
      <w:bookmarkEnd w:id="0"/>
    </w:p>
    <w:p w:rsidR="00F7645B" w:rsidRDefault="00F7645B" w:rsidP="00F7645B">
      <w:pPr>
        <w:spacing w:after="0" w:line="240" w:lineRule="auto"/>
        <w:rPr>
          <w:rStyle w:val="tx"/>
          <w:bdr w:val="none" w:sz="0" w:space="0" w:color="auto" w:frame="1"/>
        </w:rPr>
      </w:pPr>
      <w:r>
        <w:t xml:space="preserve">Once again, your team is the key financial management team for your company. </w:t>
      </w:r>
      <w:r>
        <w:rPr>
          <w:rStyle w:val="tx"/>
          <w:bdr w:val="none" w:sz="0" w:space="0" w:color="auto" w:frame="1"/>
        </w:rPr>
        <w:t>The company’s CEO is now looking to expand its operations by investing in new property, plant, and equipment.</w:t>
      </w:r>
      <w:r w:rsidR="00CE46C2">
        <w:rPr>
          <w:rStyle w:val="tx"/>
          <w:bdr w:val="none" w:sz="0" w:space="0" w:color="auto" w:frame="1"/>
        </w:rPr>
        <w:t xml:space="preserve"> Your team recently calculated the WACC for your company, which will now be useful in evaluating</w:t>
      </w:r>
      <w:r>
        <w:rPr>
          <w:rStyle w:val="tx"/>
          <w:bdr w:val="none" w:sz="0" w:space="0" w:color="auto" w:frame="1"/>
        </w:rPr>
        <w:t xml:space="preserve"> the project’s effectiveness</w:t>
      </w:r>
      <w:r w:rsidR="00CE46C2">
        <w:rPr>
          <w:rStyle w:val="tx"/>
          <w:bdr w:val="none" w:sz="0" w:space="0" w:color="auto" w:frame="1"/>
        </w:rPr>
        <w:t xml:space="preserve">. You are now asked to do some capital budgeting analysis that will determine whether the company should invest in these new plant assets. </w:t>
      </w:r>
    </w:p>
    <w:p w:rsidR="008B04FF" w:rsidRDefault="008B04FF"/>
    <w:p w:rsidR="00CE46C2" w:rsidRDefault="00CE46C2" w:rsidP="00CE46C2">
      <w:pPr>
        <w:pStyle w:val="Heading3"/>
      </w:pPr>
      <w:r>
        <w:t>The parameters for this project are:</w:t>
      </w:r>
    </w:p>
    <w:p w:rsidR="00CE46C2" w:rsidRDefault="00CE46C2" w:rsidP="00CE46C2">
      <w:pPr>
        <w:spacing w:after="0" w:line="240" w:lineRule="auto"/>
      </w:pPr>
      <w:r>
        <w:t>Your team will be using the same company for this project that you used in the Week 6 project. The company is now looking to expand its operations and wants you to do some analysis using key capital budgeting tools to do this. The parameters for this project are as follows.</w:t>
      </w:r>
    </w:p>
    <w:p w:rsidR="00CE46C2" w:rsidRDefault="00CE46C2" w:rsidP="00CE46C2">
      <w:pPr>
        <w:spacing w:after="0" w:line="240" w:lineRule="auto"/>
      </w:pPr>
    </w:p>
    <w:p w:rsidR="00CE46C2" w:rsidRDefault="00CE46C2" w:rsidP="00CE46C2">
      <w:pPr>
        <w:spacing w:after="0" w:line="240" w:lineRule="auto"/>
      </w:pPr>
      <w:r>
        <w:t>The firm is looking to expand its operations by 10% of the firm’s net property, plant, and equipment. (Calculate this amount by taking 10% of the property, plant, and equipment figure that appears on the firm’s balance sheet.)</w:t>
      </w:r>
    </w:p>
    <w:p w:rsidR="00CE46C2" w:rsidRDefault="00CE46C2" w:rsidP="00CE46C2">
      <w:pPr>
        <w:spacing w:after="0" w:line="240" w:lineRule="auto"/>
      </w:pPr>
    </w:p>
    <w:p w:rsidR="00CE46C2" w:rsidRDefault="00CE46C2" w:rsidP="00CE46C2">
      <w:pPr>
        <w:spacing w:after="0" w:line="240" w:lineRule="auto"/>
      </w:pPr>
      <w:r>
        <w:t>The estimated life of this new property, plant, and equipment will be 12 years.</w:t>
      </w:r>
      <w:r w:rsidR="00574748">
        <w:t xml:space="preserve"> The salvage value of the equipment will be 5% of the property, plant and equipment’s cost.</w:t>
      </w:r>
    </w:p>
    <w:p w:rsidR="00CE46C2" w:rsidRDefault="00CE46C2" w:rsidP="00CE46C2">
      <w:pPr>
        <w:spacing w:after="0" w:line="240" w:lineRule="auto"/>
      </w:pPr>
    </w:p>
    <w:p w:rsidR="00CE46C2" w:rsidRDefault="00CE46C2" w:rsidP="00CE46C2">
      <w:pPr>
        <w:spacing w:after="0" w:line="240" w:lineRule="auto"/>
      </w:pPr>
      <w:r>
        <w:t xml:space="preserve">The annual EBIT for this new project will be 18% of the project’s cost. </w:t>
      </w:r>
    </w:p>
    <w:p w:rsidR="00CE46C2" w:rsidRDefault="00CE46C2" w:rsidP="00CE46C2">
      <w:pPr>
        <w:spacing w:after="0" w:line="240" w:lineRule="auto"/>
      </w:pPr>
    </w:p>
    <w:p w:rsidR="00CE46C2" w:rsidRDefault="00CE46C2" w:rsidP="00CE46C2">
      <w:pPr>
        <w:spacing w:after="0" w:line="240" w:lineRule="auto"/>
      </w:pPr>
      <w:r>
        <w:t xml:space="preserve">The company will use the straight-line method to depreciate this equipment. Also assume that there will be no increases in net working capital each year. Use the same marginal tax rate that you used </w:t>
      </w:r>
      <w:r w:rsidR="001A0E78">
        <w:t>in the Week 6 project</w:t>
      </w:r>
      <w:r>
        <w:t>.</w:t>
      </w:r>
    </w:p>
    <w:p w:rsidR="00CE46C2" w:rsidRDefault="00CE46C2" w:rsidP="00CE46C2">
      <w:pPr>
        <w:spacing w:after="0" w:line="240" w:lineRule="auto"/>
      </w:pPr>
    </w:p>
    <w:p w:rsidR="00CE46C2" w:rsidRDefault="00CE46C2" w:rsidP="00CE46C2">
      <w:pPr>
        <w:spacing w:after="0" w:line="240" w:lineRule="auto"/>
      </w:pPr>
      <w:r>
        <w:t xml:space="preserve">The hurdle rate for this project will be the WACC that you calculated in Week 6. </w:t>
      </w:r>
    </w:p>
    <w:p w:rsidR="00CE46C2" w:rsidRDefault="00CE46C2"/>
    <w:p w:rsidR="00CE46C2" w:rsidRPr="006A3BA0" w:rsidRDefault="00CE46C2" w:rsidP="00CE46C2">
      <w:pPr>
        <w:pStyle w:val="Heading3"/>
      </w:pPr>
      <w:r>
        <w:t>Deliverable</w:t>
      </w:r>
      <w:r w:rsidRPr="006A3BA0">
        <w:t xml:space="preserve"> for </w:t>
      </w:r>
      <w:r>
        <w:t>this Project</w:t>
      </w:r>
    </w:p>
    <w:p w:rsidR="00CE46C2" w:rsidRDefault="00CE46C2" w:rsidP="00CE46C2">
      <w:pPr>
        <w:spacing w:after="0" w:line="240" w:lineRule="auto"/>
      </w:pPr>
      <w:r>
        <w:t xml:space="preserve">Prepare a narrated PowerPoint presentation using </w:t>
      </w:r>
      <w:proofErr w:type="spellStart"/>
      <w:r>
        <w:t>VoiceThread</w:t>
      </w:r>
      <w:proofErr w:type="spellEnd"/>
      <w:r>
        <w:t xml:space="preserve"> or </w:t>
      </w:r>
      <w:proofErr w:type="spellStart"/>
      <w:r>
        <w:t>Webex</w:t>
      </w:r>
      <w:proofErr w:type="spellEnd"/>
      <w:r>
        <w:t xml:space="preserve"> that will highlight the following items.</w:t>
      </w:r>
    </w:p>
    <w:p w:rsidR="00CE46C2" w:rsidRDefault="00CE46C2" w:rsidP="00CE46C2">
      <w:pPr>
        <w:pStyle w:val="ListParagraph"/>
        <w:numPr>
          <w:ilvl w:val="0"/>
          <w:numId w:val="3"/>
        </w:numPr>
        <w:spacing w:after="0" w:line="240" w:lineRule="auto"/>
      </w:pPr>
      <w:r>
        <w:t>Your calculations for the amount of property, plant, and equipment and the annual depreciation for the project</w:t>
      </w:r>
    </w:p>
    <w:p w:rsidR="00CE46C2" w:rsidRDefault="00CE46C2" w:rsidP="00CE46C2">
      <w:pPr>
        <w:pStyle w:val="ListParagraph"/>
        <w:numPr>
          <w:ilvl w:val="0"/>
          <w:numId w:val="3"/>
        </w:numPr>
        <w:spacing w:after="0" w:line="240" w:lineRule="auto"/>
      </w:pPr>
      <w:r>
        <w:t xml:space="preserve">Your calculations that convert the project’s EBIT to free cash flow for the 12 years of the project. </w:t>
      </w:r>
    </w:p>
    <w:p w:rsidR="00CE46C2" w:rsidRDefault="00CE46C2" w:rsidP="00CE46C2">
      <w:pPr>
        <w:pStyle w:val="ListParagraph"/>
        <w:numPr>
          <w:ilvl w:val="0"/>
          <w:numId w:val="3"/>
        </w:numPr>
        <w:spacing w:after="0" w:line="240" w:lineRule="auto"/>
      </w:pPr>
      <w:r>
        <w:t>The following capital budgeting results for the project</w:t>
      </w:r>
    </w:p>
    <w:p w:rsidR="00CE46C2" w:rsidRDefault="00CE46C2" w:rsidP="00CE46C2">
      <w:pPr>
        <w:pStyle w:val="ListParagraph"/>
        <w:numPr>
          <w:ilvl w:val="1"/>
          <w:numId w:val="3"/>
        </w:numPr>
        <w:spacing w:after="0" w:line="240" w:lineRule="auto"/>
      </w:pPr>
      <w:r>
        <w:t>Net present value</w:t>
      </w:r>
    </w:p>
    <w:p w:rsidR="00CE46C2" w:rsidRDefault="00CE46C2" w:rsidP="00CE46C2">
      <w:pPr>
        <w:pStyle w:val="ListParagraph"/>
        <w:numPr>
          <w:ilvl w:val="1"/>
          <w:numId w:val="3"/>
        </w:numPr>
        <w:spacing w:after="0" w:line="240" w:lineRule="auto"/>
      </w:pPr>
      <w:r>
        <w:t>Internal rate of return</w:t>
      </w:r>
    </w:p>
    <w:p w:rsidR="00CE46C2" w:rsidRDefault="00CE46C2" w:rsidP="00CE46C2">
      <w:pPr>
        <w:pStyle w:val="ListParagraph"/>
        <w:numPr>
          <w:ilvl w:val="1"/>
          <w:numId w:val="3"/>
        </w:numPr>
        <w:spacing w:after="0" w:line="240" w:lineRule="auto"/>
      </w:pPr>
      <w:r>
        <w:t xml:space="preserve">Discounted payback period. </w:t>
      </w:r>
    </w:p>
    <w:p w:rsidR="00CE46C2" w:rsidRDefault="00CE46C2" w:rsidP="00CE46C2">
      <w:pPr>
        <w:pStyle w:val="ListParagraph"/>
        <w:numPr>
          <w:ilvl w:val="0"/>
          <w:numId w:val="3"/>
        </w:numPr>
        <w:spacing w:after="0" w:line="240" w:lineRule="auto"/>
      </w:pPr>
      <w:r>
        <w:t>Your discussion of the results that you calculated above, including a recommendation for acceptance or rejection of the project</w:t>
      </w:r>
    </w:p>
    <w:p w:rsidR="00CE46C2" w:rsidRDefault="00CE46C2" w:rsidP="00CE46C2">
      <w:pPr>
        <w:spacing w:after="0" w:line="240" w:lineRule="auto"/>
      </w:pPr>
    </w:p>
    <w:p w:rsidR="00CE46C2" w:rsidRDefault="00CE46C2" w:rsidP="00CE46C2">
      <w:pPr>
        <w:spacing w:after="0" w:line="240" w:lineRule="auto"/>
      </w:pPr>
      <w:r>
        <w:t>Once again, you may embed your Excel spreadsheets into your document. Be sure to follow APA standards for this project.</w:t>
      </w:r>
    </w:p>
    <w:p w:rsidR="00C67B43" w:rsidRDefault="00C67B43" w:rsidP="00CE46C2">
      <w:pPr>
        <w:rPr>
          <w:rStyle w:val="tx"/>
          <w:bdr w:val="none" w:sz="0" w:space="0" w:color="auto" w:frame="1"/>
        </w:rPr>
      </w:pPr>
    </w:p>
    <w:p w:rsidR="00286982" w:rsidRDefault="00286982">
      <w:pPr>
        <w:rPr>
          <w:rStyle w:val="tx"/>
          <w:bdr w:val="none" w:sz="0" w:space="0" w:color="auto" w:frame="1"/>
        </w:rPr>
      </w:pPr>
      <w:r>
        <w:rPr>
          <w:rStyle w:val="tx"/>
          <w:bdr w:val="none" w:sz="0" w:space="0" w:color="auto" w:frame="1"/>
        </w:rPr>
        <w:br w:type="page"/>
      </w:r>
    </w:p>
    <w:p w:rsidR="00286982" w:rsidRPr="00286982" w:rsidRDefault="00286982" w:rsidP="00CE46C2">
      <w:pPr>
        <w:rPr>
          <w:rStyle w:val="tx"/>
          <w:b/>
          <w:bdr w:val="none" w:sz="0" w:space="0" w:color="auto" w:frame="1"/>
        </w:rPr>
      </w:pPr>
      <w:r w:rsidRPr="00286982">
        <w:rPr>
          <w:rStyle w:val="tx"/>
          <w:b/>
          <w:bdr w:val="none" w:sz="0" w:space="0" w:color="auto" w:frame="1"/>
        </w:rPr>
        <w:lastRenderedPageBreak/>
        <w:t>Grading Rubric</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6982" w:rsidTr="00803D32">
        <w:tc>
          <w:tcPr>
            <w:tcW w:w="1558" w:type="dxa"/>
          </w:tcPr>
          <w:p w:rsidR="00286982" w:rsidRPr="00B87904" w:rsidRDefault="00286982" w:rsidP="00803D32">
            <w:pPr>
              <w:rPr>
                <w:b/>
              </w:rPr>
            </w:pPr>
            <w:r>
              <w:rPr>
                <w:b/>
              </w:rPr>
              <w:t xml:space="preserve">     </w:t>
            </w:r>
          </w:p>
        </w:tc>
        <w:tc>
          <w:tcPr>
            <w:tcW w:w="1558" w:type="dxa"/>
          </w:tcPr>
          <w:p w:rsidR="00286982" w:rsidRPr="00B87904" w:rsidRDefault="00286982" w:rsidP="00803D32">
            <w:pPr>
              <w:jc w:val="center"/>
              <w:rPr>
                <w:b/>
              </w:rPr>
            </w:pPr>
            <w:r w:rsidRPr="00B87904">
              <w:rPr>
                <w:b/>
              </w:rPr>
              <w:t>Possible</w:t>
            </w:r>
          </w:p>
          <w:p w:rsidR="00286982" w:rsidRPr="00B87904" w:rsidRDefault="00286982" w:rsidP="00803D32">
            <w:pPr>
              <w:jc w:val="center"/>
              <w:rPr>
                <w:b/>
              </w:rPr>
            </w:pPr>
            <w:r w:rsidRPr="00B87904">
              <w:rPr>
                <w:b/>
              </w:rPr>
              <w:t>Points</w:t>
            </w:r>
          </w:p>
        </w:tc>
        <w:tc>
          <w:tcPr>
            <w:tcW w:w="6234" w:type="dxa"/>
            <w:gridSpan w:val="4"/>
          </w:tcPr>
          <w:p w:rsidR="00286982" w:rsidRPr="00B87904" w:rsidRDefault="00286982" w:rsidP="00803D32">
            <w:pPr>
              <w:jc w:val="center"/>
              <w:rPr>
                <w:b/>
              </w:rPr>
            </w:pPr>
            <w:r w:rsidRPr="00B87904">
              <w:rPr>
                <w:b/>
              </w:rPr>
              <w:t>Criteria and Point Range</w:t>
            </w:r>
          </w:p>
        </w:tc>
      </w:tr>
      <w:tr w:rsidR="00286982" w:rsidTr="00803D32">
        <w:tc>
          <w:tcPr>
            <w:tcW w:w="1558" w:type="dxa"/>
            <w:vMerge w:val="restart"/>
          </w:tcPr>
          <w:p w:rsidR="00286982" w:rsidRDefault="00286982" w:rsidP="00803D32">
            <w:pPr>
              <w:jc w:val="center"/>
              <w:rPr>
                <w:b/>
              </w:rPr>
            </w:pPr>
          </w:p>
          <w:p w:rsidR="00286982" w:rsidRPr="00183B14" w:rsidRDefault="00286982" w:rsidP="00803D32">
            <w:pPr>
              <w:jc w:val="center"/>
              <w:rPr>
                <w:b/>
              </w:rPr>
            </w:pPr>
            <w:r>
              <w:rPr>
                <w:b/>
              </w:rPr>
              <w:t xml:space="preserve">Calculation of Cost of Project </w:t>
            </w:r>
          </w:p>
          <w:p w:rsidR="00286982" w:rsidRPr="00183B14" w:rsidRDefault="00286982" w:rsidP="00803D32">
            <w:pPr>
              <w:jc w:val="center"/>
              <w:rPr>
                <w:b/>
              </w:rPr>
            </w:pPr>
          </w:p>
        </w:tc>
        <w:tc>
          <w:tcPr>
            <w:tcW w:w="1558" w:type="dxa"/>
            <w:vMerge w:val="restart"/>
          </w:tcPr>
          <w:p w:rsidR="00286982" w:rsidRPr="00183B14" w:rsidRDefault="00286982" w:rsidP="00803D32">
            <w:pPr>
              <w:jc w:val="center"/>
              <w:rPr>
                <w:b/>
              </w:rPr>
            </w:pPr>
          </w:p>
          <w:p w:rsidR="00286982" w:rsidRPr="00183B14" w:rsidRDefault="00286982" w:rsidP="00803D32">
            <w:pPr>
              <w:jc w:val="center"/>
              <w:rPr>
                <w:b/>
              </w:rPr>
            </w:pPr>
          </w:p>
          <w:p w:rsidR="00286982" w:rsidRPr="00183B14" w:rsidRDefault="00286982" w:rsidP="00803D32">
            <w:pPr>
              <w:jc w:val="center"/>
              <w:rPr>
                <w:b/>
              </w:rPr>
            </w:pPr>
            <w:r>
              <w:rPr>
                <w:b/>
              </w:rPr>
              <w:t>8</w:t>
            </w:r>
          </w:p>
        </w:tc>
        <w:tc>
          <w:tcPr>
            <w:tcW w:w="1558" w:type="dxa"/>
          </w:tcPr>
          <w:p w:rsidR="00286982" w:rsidRDefault="00286982" w:rsidP="00803D32">
            <w:pPr>
              <w:jc w:val="center"/>
            </w:pPr>
            <w:r>
              <w:t>0-3</w:t>
            </w:r>
          </w:p>
        </w:tc>
        <w:tc>
          <w:tcPr>
            <w:tcW w:w="1558" w:type="dxa"/>
          </w:tcPr>
          <w:p w:rsidR="00286982" w:rsidRDefault="00286982" w:rsidP="00803D32">
            <w:pPr>
              <w:jc w:val="center"/>
            </w:pPr>
            <w:r>
              <w:t>4-6</w:t>
            </w:r>
          </w:p>
        </w:tc>
        <w:tc>
          <w:tcPr>
            <w:tcW w:w="1559" w:type="dxa"/>
          </w:tcPr>
          <w:p w:rsidR="00286982" w:rsidRDefault="00286982" w:rsidP="00803D32">
            <w:pPr>
              <w:jc w:val="center"/>
            </w:pPr>
            <w:r>
              <w:t>7-9</w:t>
            </w:r>
          </w:p>
        </w:tc>
        <w:tc>
          <w:tcPr>
            <w:tcW w:w="1559" w:type="dxa"/>
          </w:tcPr>
          <w:p w:rsidR="00286982" w:rsidRDefault="00286982" w:rsidP="00803D32">
            <w:pPr>
              <w:jc w:val="center"/>
            </w:pPr>
            <w:r>
              <w:t>10-12</w:t>
            </w:r>
          </w:p>
        </w:tc>
      </w:tr>
      <w:tr w:rsidR="00286982" w:rsidTr="00803D32">
        <w:tc>
          <w:tcPr>
            <w:tcW w:w="1558" w:type="dxa"/>
            <w:vMerge/>
          </w:tcPr>
          <w:p w:rsidR="00286982" w:rsidRPr="00183B14" w:rsidRDefault="00286982" w:rsidP="00803D32">
            <w:pPr>
              <w:jc w:val="center"/>
              <w:rPr>
                <w:b/>
              </w:rPr>
            </w:pPr>
          </w:p>
        </w:tc>
        <w:tc>
          <w:tcPr>
            <w:tcW w:w="1558" w:type="dxa"/>
            <w:vMerge/>
          </w:tcPr>
          <w:p w:rsidR="00286982" w:rsidRPr="00183B14" w:rsidRDefault="00286982" w:rsidP="00803D32">
            <w:pPr>
              <w:jc w:val="center"/>
              <w:rPr>
                <w:b/>
              </w:rPr>
            </w:pPr>
          </w:p>
        </w:tc>
        <w:tc>
          <w:tcPr>
            <w:tcW w:w="1558" w:type="dxa"/>
          </w:tcPr>
          <w:p w:rsidR="00286982" w:rsidRPr="000A22FE" w:rsidRDefault="00286982" w:rsidP="00803D32">
            <w:pPr>
              <w:rPr>
                <w:sz w:val="16"/>
                <w:szCs w:val="16"/>
              </w:rPr>
            </w:pPr>
            <w:r>
              <w:rPr>
                <w:sz w:val="16"/>
                <w:szCs w:val="16"/>
              </w:rPr>
              <w:t xml:space="preserve">All calculations are incorrect, or not presented. </w:t>
            </w:r>
          </w:p>
        </w:tc>
        <w:tc>
          <w:tcPr>
            <w:tcW w:w="1558" w:type="dxa"/>
          </w:tcPr>
          <w:p w:rsidR="00286982" w:rsidRPr="000A22FE" w:rsidRDefault="00286982" w:rsidP="00803D32">
            <w:pPr>
              <w:rPr>
                <w:sz w:val="16"/>
                <w:szCs w:val="16"/>
              </w:rPr>
            </w:pPr>
            <w:r>
              <w:rPr>
                <w:sz w:val="16"/>
                <w:szCs w:val="16"/>
              </w:rPr>
              <w:t xml:space="preserve">Calculation of PP&amp;E, salvage value, or annual depreciation is incorrect. </w:t>
            </w:r>
          </w:p>
        </w:tc>
        <w:tc>
          <w:tcPr>
            <w:tcW w:w="1559" w:type="dxa"/>
          </w:tcPr>
          <w:p w:rsidR="00286982" w:rsidRPr="000A22FE" w:rsidRDefault="00286982" w:rsidP="00803D32">
            <w:pPr>
              <w:rPr>
                <w:sz w:val="16"/>
                <w:szCs w:val="16"/>
              </w:rPr>
            </w:pPr>
            <w:r>
              <w:rPr>
                <w:sz w:val="16"/>
                <w:szCs w:val="16"/>
              </w:rPr>
              <w:t xml:space="preserve">Cost of PP&amp;E is mostly correct with some minor calculation errors. </w:t>
            </w:r>
          </w:p>
        </w:tc>
        <w:tc>
          <w:tcPr>
            <w:tcW w:w="1559" w:type="dxa"/>
          </w:tcPr>
          <w:p w:rsidR="00286982" w:rsidRPr="000A22FE" w:rsidRDefault="00286982" w:rsidP="00803D32">
            <w:pPr>
              <w:rPr>
                <w:sz w:val="16"/>
                <w:szCs w:val="16"/>
              </w:rPr>
            </w:pPr>
            <w:r>
              <w:rPr>
                <w:sz w:val="16"/>
                <w:szCs w:val="16"/>
              </w:rPr>
              <w:t xml:space="preserve">Cost of Property, plant and Equipment and annual depreciation correctly calculated. </w:t>
            </w:r>
          </w:p>
        </w:tc>
      </w:tr>
      <w:tr w:rsidR="00286982" w:rsidTr="00803D32">
        <w:tc>
          <w:tcPr>
            <w:tcW w:w="1558" w:type="dxa"/>
            <w:vMerge w:val="restart"/>
          </w:tcPr>
          <w:p w:rsidR="00286982" w:rsidRDefault="00286982" w:rsidP="00803D32">
            <w:pPr>
              <w:jc w:val="center"/>
              <w:rPr>
                <w:b/>
              </w:rPr>
            </w:pPr>
          </w:p>
          <w:p w:rsidR="00286982" w:rsidRPr="00183B14" w:rsidRDefault="00286982" w:rsidP="00803D32">
            <w:pPr>
              <w:jc w:val="center"/>
              <w:rPr>
                <w:b/>
              </w:rPr>
            </w:pPr>
            <w:r>
              <w:rPr>
                <w:b/>
              </w:rPr>
              <w:t>Estimation of Cash Flows</w:t>
            </w:r>
          </w:p>
          <w:p w:rsidR="00286982" w:rsidRPr="00183B14" w:rsidRDefault="00286982" w:rsidP="00803D32">
            <w:pPr>
              <w:jc w:val="center"/>
              <w:rPr>
                <w:b/>
              </w:rPr>
            </w:pPr>
          </w:p>
        </w:tc>
        <w:tc>
          <w:tcPr>
            <w:tcW w:w="1558" w:type="dxa"/>
            <w:vMerge w:val="restart"/>
          </w:tcPr>
          <w:p w:rsidR="00286982" w:rsidRPr="00183B14" w:rsidRDefault="00286982" w:rsidP="00803D32">
            <w:pPr>
              <w:jc w:val="center"/>
              <w:rPr>
                <w:b/>
              </w:rPr>
            </w:pPr>
          </w:p>
          <w:p w:rsidR="00286982" w:rsidRPr="00183B14" w:rsidRDefault="00286982" w:rsidP="00803D32">
            <w:pPr>
              <w:jc w:val="center"/>
              <w:rPr>
                <w:b/>
              </w:rPr>
            </w:pPr>
          </w:p>
          <w:p w:rsidR="00286982" w:rsidRPr="00183B14" w:rsidRDefault="00286982" w:rsidP="00803D32">
            <w:pPr>
              <w:jc w:val="center"/>
              <w:rPr>
                <w:b/>
              </w:rPr>
            </w:pPr>
            <w:r w:rsidRPr="00183B14">
              <w:rPr>
                <w:b/>
              </w:rPr>
              <w:t>12</w:t>
            </w:r>
          </w:p>
        </w:tc>
        <w:tc>
          <w:tcPr>
            <w:tcW w:w="1558" w:type="dxa"/>
          </w:tcPr>
          <w:p w:rsidR="00286982" w:rsidRPr="000A22FE" w:rsidRDefault="00286982" w:rsidP="00803D32">
            <w:pPr>
              <w:jc w:val="center"/>
              <w:rPr>
                <w:sz w:val="16"/>
                <w:szCs w:val="16"/>
              </w:rPr>
            </w:pPr>
            <w:r w:rsidRPr="000A22FE">
              <w:rPr>
                <w:sz w:val="16"/>
                <w:szCs w:val="16"/>
              </w:rPr>
              <w:t>0-3</w:t>
            </w:r>
          </w:p>
        </w:tc>
        <w:tc>
          <w:tcPr>
            <w:tcW w:w="1558" w:type="dxa"/>
          </w:tcPr>
          <w:p w:rsidR="00286982" w:rsidRPr="000A22FE" w:rsidRDefault="00286982" w:rsidP="00803D32">
            <w:pPr>
              <w:jc w:val="center"/>
              <w:rPr>
                <w:sz w:val="16"/>
                <w:szCs w:val="16"/>
              </w:rPr>
            </w:pPr>
            <w:r w:rsidRPr="000A22FE">
              <w:rPr>
                <w:sz w:val="16"/>
                <w:szCs w:val="16"/>
              </w:rPr>
              <w:t>4-6</w:t>
            </w:r>
          </w:p>
        </w:tc>
        <w:tc>
          <w:tcPr>
            <w:tcW w:w="1559" w:type="dxa"/>
          </w:tcPr>
          <w:p w:rsidR="00286982" w:rsidRPr="000A22FE" w:rsidRDefault="00286982" w:rsidP="00803D32">
            <w:pPr>
              <w:jc w:val="center"/>
              <w:rPr>
                <w:sz w:val="16"/>
                <w:szCs w:val="16"/>
              </w:rPr>
            </w:pPr>
            <w:r w:rsidRPr="000A22FE">
              <w:rPr>
                <w:sz w:val="16"/>
                <w:szCs w:val="16"/>
              </w:rPr>
              <w:t>7-9</w:t>
            </w:r>
          </w:p>
        </w:tc>
        <w:tc>
          <w:tcPr>
            <w:tcW w:w="1559" w:type="dxa"/>
          </w:tcPr>
          <w:p w:rsidR="00286982" w:rsidRPr="000A22FE" w:rsidRDefault="00286982" w:rsidP="00803D32">
            <w:pPr>
              <w:jc w:val="center"/>
              <w:rPr>
                <w:sz w:val="16"/>
                <w:szCs w:val="16"/>
              </w:rPr>
            </w:pPr>
            <w:r w:rsidRPr="000A22FE">
              <w:rPr>
                <w:sz w:val="16"/>
                <w:szCs w:val="16"/>
              </w:rPr>
              <w:t>10-12</w:t>
            </w:r>
          </w:p>
        </w:tc>
      </w:tr>
      <w:tr w:rsidR="00286982" w:rsidTr="00803D32">
        <w:tc>
          <w:tcPr>
            <w:tcW w:w="1558" w:type="dxa"/>
            <w:vMerge/>
          </w:tcPr>
          <w:p w:rsidR="00286982" w:rsidRPr="00183B14" w:rsidRDefault="00286982" w:rsidP="00803D32">
            <w:pPr>
              <w:jc w:val="center"/>
              <w:rPr>
                <w:b/>
              </w:rPr>
            </w:pPr>
          </w:p>
        </w:tc>
        <w:tc>
          <w:tcPr>
            <w:tcW w:w="1558" w:type="dxa"/>
            <w:vMerge/>
          </w:tcPr>
          <w:p w:rsidR="00286982" w:rsidRPr="00183B14" w:rsidRDefault="00286982" w:rsidP="00803D32">
            <w:pPr>
              <w:jc w:val="center"/>
              <w:rPr>
                <w:b/>
              </w:rPr>
            </w:pPr>
          </w:p>
        </w:tc>
        <w:tc>
          <w:tcPr>
            <w:tcW w:w="1558" w:type="dxa"/>
          </w:tcPr>
          <w:p w:rsidR="00286982" w:rsidRPr="000A22FE" w:rsidRDefault="00286982" w:rsidP="00803D32">
            <w:pPr>
              <w:rPr>
                <w:sz w:val="16"/>
                <w:szCs w:val="16"/>
              </w:rPr>
            </w:pPr>
            <w:r>
              <w:rPr>
                <w:sz w:val="16"/>
                <w:szCs w:val="16"/>
              </w:rPr>
              <w:t xml:space="preserve">All aspects of the cash flow calculation are incorrect, or not presented. </w:t>
            </w:r>
          </w:p>
        </w:tc>
        <w:tc>
          <w:tcPr>
            <w:tcW w:w="1558" w:type="dxa"/>
          </w:tcPr>
          <w:p w:rsidR="00286982" w:rsidRPr="000A22FE" w:rsidRDefault="00286982" w:rsidP="00803D32">
            <w:pPr>
              <w:rPr>
                <w:sz w:val="16"/>
                <w:szCs w:val="16"/>
              </w:rPr>
            </w:pPr>
            <w:r>
              <w:rPr>
                <w:sz w:val="16"/>
                <w:szCs w:val="16"/>
              </w:rPr>
              <w:t>Significant, but identifiable errors are presented in the calculation to convert income to cash flows</w:t>
            </w:r>
            <w:proofErr w:type="gramStart"/>
            <w:r>
              <w:rPr>
                <w:sz w:val="16"/>
                <w:szCs w:val="16"/>
              </w:rPr>
              <w:t>..</w:t>
            </w:r>
            <w:proofErr w:type="gramEnd"/>
            <w:r>
              <w:rPr>
                <w:sz w:val="16"/>
                <w:szCs w:val="16"/>
              </w:rPr>
              <w:t xml:space="preserve"> </w:t>
            </w:r>
          </w:p>
        </w:tc>
        <w:tc>
          <w:tcPr>
            <w:tcW w:w="1559" w:type="dxa"/>
          </w:tcPr>
          <w:p w:rsidR="00286982" w:rsidRPr="000A22FE" w:rsidRDefault="00286982" w:rsidP="00803D32">
            <w:pPr>
              <w:rPr>
                <w:sz w:val="16"/>
                <w:szCs w:val="16"/>
              </w:rPr>
            </w:pPr>
            <w:r>
              <w:rPr>
                <w:sz w:val="16"/>
                <w:szCs w:val="16"/>
              </w:rPr>
              <w:t xml:space="preserve">Cash flows are properly converted from accrual-based net income to cash flows from the project, with minor errors. </w:t>
            </w:r>
          </w:p>
        </w:tc>
        <w:tc>
          <w:tcPr>
            <w:tcW w:w="1559" w:type="dxa"/>
          </w:tcPr>
          <w:p w:rsidR="00286982" w:rsidRPr="000A22FE" w:rsidRDefault="00286982" w:rsidP="00803D32">
            <w:pPr>
              <w:rPr>
                <w:sz w:val="16"/>
                <w:szCs w:val="16"/>
              </w:rPr>
            </w:pPr>
            <w:r>
              <w:rPr>
                <w:sz w:val="16"/>
                <w:szCs w:val="16"/>
              </w:rPr>
              <w:t>Cash flows are properly converted from accrual-based net income to cash flows from the project.</w:t>
            </w:r>
          </w:p>
        </w:tc>
      </w:tr>
      <w:tr w:rsidR="00286982" w:rsidTr="00803D32">
        <w:tc>
          <w:tcPr>
            <w:tcW w:w="1558" w:type="dxa"/>
            <w:vMerge w:val="restart"/>
          </w:tcPr>
          <w:p w:rsidR="00286982" w:rsidRPr="00183B14" w:rsidRDefault="00286982" w:rsidP="00803D32">
            <w:pPr>
              <w:jc w:val="center"/>
              <w:rPr>
                <w:b/>
              </w:rPr>
            </w:pPr>
          </w:p>
          <w:p w:rsidR="00286982" w:rsidRDefault="00286982" w:rsidP="00803D32">
            <w:pPr>
              <w:jc w:val="center"/>
              <w:rPr>
                <w:b/>
              </w:rPr>
            </w:pPr>
            <w:r>
              <w:rPr>
                <w:b/>
              </w:rPr>
              <w:t xml:space="preserve">Capital Budgeting </w:t>
            </w:r>
          </w:p>
          <w:p w:rsidR="00286982" w:rsidRDefault="00286982" w:rsidP="00803D32">
            <w:pPr>
              <w:jc w:val="center"/>
              <w:rPr>
                <w:b/>
              </w:rPr>
            </w:pPr>
            <w:r>
              <w:rPr>
                <w:b/>
              </w:rPr>
              <w:t>Analysis</w:t>
            </w:r>
          </w:p>
          <w:p w:rsidR="00286982" w:rsidRPr="00183B14" w:rsidRDefault="00286982" w:rsidP="00803D32">
            <w:pPr>
              <w:jc w:val="center"/>
              <w:rPr>
                <w:b/>
              </w:rPr>
            </w:pPr>
          </w:p>
        </w:tc>
        <w:tc>
          <w:tcPr>
            <w:tcW w:w="1558" w:type="dxa"/>
            <w:vMerge w:val="restart"/>
          </w:tcPr>
          <w:p w:rsidR="00286982" w:rsidRPr="00183B14" w:rsidRDefault="00286982" w:rsidP="00803D32">
            <w:pPr>
              <w:jc w:val="center"/>
              <w:rPr>
                <w:b/>
              </w:rPr>
            </w:pPr>
          </w:p>
          <w:p w:rsidR="00286982" w:rsidRPr="00183B14" w:rsidRDefault="00286982" w:rsidP="00803D32">
            <w:pPr>
              <w:jc w:val="center"/>
              <w:rPr>
                <w:b/>
              </w:rPr>
            </w:pPr>
          </w:p>
          <w:p w:rsidR="00286982" w:rsidRPr="00183B14" w:rsidRDefault="00286982" w:rsidP="00803D32">
            <w:pPr>
              <w:jc w:val="center"/>
              <w:rPr>
                <w:b/>
              </w:rPr>
            </w:pPr>
            <w:r>
              <w:rPr>
                <w:b/>
              </w:rPr>
              <w:t>12</w:t>
            </w:r>
          </w:p>
        </w:tc>
        <w:tc>
          <w:tcPr>
            <w:tcW w:w="1558" w:type="dxa"/>
          </w:tcPr>
          <w:p w:rsidR="00286982" w:rsidRPr="000A22FE" w:rsidRDefault="00286982" w:rsidP="00803D32">
            <w:pPr>
              <w:jc w:val="center"/>
              <w:rPr>
                <w:sz w:val="16"/>
                <w:szCs w:val="16"/>
              </w:rPr>
            </w:pPr>
            <w:r w:rsidRPr="000A22FE">
              <w:rPr>
                <w:sz w:val="16"/>
                <w:szCs w:val="16"/>
              </w:rPr>
              <w:t>0-2</w:t>
            </w:r>
          </w:p>
        </w:tc>
        <w:tc>
          <w:tcPr>
            <w:tcW w:w="1558" w:type="dxa"/>
          </w:tcPr>
          <w:p w:rsidR="00286982" w:rsidRPr="000A22FE" w:rsidRDefault="00286982" w:rsidP="00803D32">
            <w:pPr>
              <w:jc w:val="center"/>
              <w:rPr>
                <w:sz w:val="16"/>
                <w:szCs w:val="16"/>
              </w:rPr>
            </w:pPr>
            <w:r w:rsidRPr="000A22FE">
              <w:rPr>
                <w:sz w:val="16"/>
                <w:szCs w:val="16"/>
              </w:rPr>
              <w:t>3-4</w:t>
            </w:r>
          </w:p>
        </w:tc>
        <w:tc>
          <w:tcPr>
            <w:tcW w:w="1559" w:type="dxa"/>
          </w:tcPr>
          <w:p w:rsidR="00286982" w:rsidRPr="000A22FE" w:rsidRDefault="00286982" w:rsidP="00803D32">
            <w:pPr>
              <w:jc w:val="center"/>
              <w:rPr>
                <w:sz w:val="16"/>
                <w:szCs w:val="16"/>
              </w:rPr>
            </w:pPr>
            <w:r w:rsidRPr="000A22FE">
              <w:rPr>
                <w:sz w:val="16"/>
                <w:szCs w:val="16"/>
              </w:rPr>
              <w:t>5-6</w:t>
            </w:r>
          </w:p>
        </w:tc>
        <w:tc>
          <w:tcPr>
            <w:tcW w:w="1559" w:type="dxa"/>
          </w:tcPr>
          <w:p w:rsidR="00286982" w:rsidRPr="000A22FE" w:rsidRDefault="00286982" w:rsidP="00803D32">
            <w:pPr>
              <w:jc w:val="center"/>
              <w:rPr>
                <w:sz w:val="16"/>
                <w:szCs w:val="16"/>
              </w:rPr>
            </w:pPr>
            <w:r w:rsidRPr="000A22FE">
              <w:rPr>
                <w:sz w:val="16"/>
                <w:szCs w:val="16"/>
              </w:rPr>
              <w:t>7-8</w:t>
            </w:r>
          </w:p>
        </w:tc>
      </w:tr>
      <w:tr w:rsidR="00286982" w:rsidTr="00803D32">
        <w:tc>
          <w:tcPr>
            <w:tcW w:w="1558" w:type="dxa"/>
            <w:vMerge/>
          </w:tcPr>
          <w:p w:rsidR="00286982" w:rsidRPr="00183B14" w:rsidRDefault="00286982" w:rsidP="00803D32">
            <w:pPr>
              <w:jc w:val="center"/>
              <w:rPr>
                <w:b/>
              </w:rPr>
            </w:pPr>
          </w:p>
        </w:tc>
        <w:tc>
          <w:tcPr>
            <w:tcW w:w="1558" w:type="dxa"/>
            <w:vMerge/>
          </w:tcPr>
          <w:p w:rsidR="00286982" w:rsidRPr="00183B14" w:rsidRDefault="00286982" w:rsidP="00803D32">
            <w:pPr>
              <w:jc w:val="center"/>
              <w:rPr>
                <w:b/>
              </w:rPr>
            </w:pPr>
          </w:p>
        </w:tc>
        <w:tc>
          <w:tcPr>
            <w:tcW w:w="1558" w:type="dxa"/>
          </w:tcPr>
          <w:p w:rsidR="00286982" w:rsidRPr="000A22FE" w:rsidRDefault="00286982" w:rsidP="00803D32">
            <w:pPr>
              <w:rPr>
                <w:sz w:val="16"/>
                <w:szCs w:val="16"/>
              </w:rPr>
            </w:pPr>
            <w:r>
              <w:rPr>
                <w:sz w:val="16"/>
                <w:szCs w:val="16"/>
              </w:rPr>
              <w:t xml:space="preserve">All of the capital budgeting calculations are incorrect, or not presented. </w:t>
            </w:r>
          </w:p>
          <w:p w:rsidR="00286982" w:rsidRPr="000A22FE" w:rsidRDefault="00286982" w:rsidP="00803D32">
            <w:pPr>
              <w:rPr>
                <w:sz w:val="16"/>
                <w:szCs w:val="16"/>
              </w:rPr>
            </w:pPr>
          </w:p>
        </w:tc>
        <w:tc>
          <w:tcPr>
            <w:tcW w:w="1558" w:type="dxa"/>
          </w:tcPr>
          <w:p w:rsidR="00286982" w:rsidRPr="000A22FE" w:rsidRDefault="00286982" w:rsidP="00803D32">
            <w:pPr>
              <w:rPr>
                <w:sz w:val="16"/>
                <w:szCs w:val="16"/>
              </w:rPr>
            </w:pPr>
            <w:r>
              <w:rPr>
                <w:sz w:val="16"/>
                <w:szCs w:val="16"/>
              </w:rPr>
              <w:t>Two errors noted in the NPV, IRR, and Discounted Payback Period calculations.</w:t>
            </w:r>
          </w:p>
        </w:tc>
        <w:tc>
          <w:tcPr>
            <w:tcW w:w="1559" w:type="dxa"/>
          </w:tcPr>
          <w:p w:rsidR="00286982" w:rsidRPr="000A22FE" w:rsidRDefault="00286982" w:rsidP="00803D32">
            <w:pPr>
              <w:rPr>
                <w:sz w:val="16"/>
                <w:szCs w:val="16"/>
              </w:rPr>
            </w:pPr>
            <w:r>
              <w:rPr>
                <w:sz w:val="16"/>
                <w:szCs w:val="16"/>
              </w:rPr>
              <w:t>One error noted in the NPV, IRR and Discounted payback period calculations.</w:t>
            </w:r>
          </w:p>
        </w:tc>
        <w:tc>
          <w:tcPr>
            <w:tcW w:w="1559" w:type="dxa"/>
          </w:tcPr>
          <w:p w:rsidR="00286982" w:rsidRPr="000A22FE" w:rsidRDefault="00286982" w:rsidP="00803D32">
            <w:pPr>
              <w:rPr>
                <w:sz w:val="16"/>
                <w:szCs w:val="16"/>
              </w:rPr>
            </w:pPr>
            <w:r>
              <w:rPr>
                <w:sz w:val="16"/>
                <w:szCs w:val="16"/>
              </w:rPr>
              <w:t>All of the NPV, IRR, and Discounted Payback period calculations are correct.</w:t>
            </w:r>
          </w:p>
        </w:tc>
      </w:tr>
      <w:tr w:rsidR="00286982" w:rsidTr="00803D32">
        <w:tc>
          <w:tcPr>
            <w:tcW w:w="1558" w:type="dxa"/>
            <w:vMerge w:val="restart"/>
          </w:tcPr>
          <w:p w:rsidR="00286982" w:rsidRPr="00183B14" w:rsidRDefault="00286982" w:rsidP="00803D32">
            <w:pPr>
              <w:jc w:val="center"/>
              <w:rPr>
                <w:b/>
              </w:rPr>
            </w:pPr>
          </w:p>
          <w:p w:rsidR="00286982" w:rsidRDefault="00286982" w:rsidP="00803D32">
            <w:pPr>
              <w:jc w:val="center"/>
              <w:rPr>
                <w:b/>
              </w:rPr>
            </w:pPr>
            <w:r w:rsidRPr="00183B14">
              <w:rPr>
                <w:b/>
              </w:rPr>
              <w:t>Form</w:t>
            </w:r>
          </w:p>
          <w:p w:rsidR="00286982" w:rsidRDefault="00286982" w:rsidP="00803D32">
            <w:pPr>
              <w:jc w:val="center"/>
              <w:rPr>
                <w:b/>
              </w:rPr>
            </w:pPr>
          </w:p>
          <w:p w:rsidR="00286982" w:rsidRPr="00183B14" w:rsidRDefault="00286982" w:rsidP="00803D32">
            <w:pPr>
              <w:jc w:val="center"/>
              <w:rPr>
                <w:b/>
              </w:rPr>
            </w:pPr>
          </w:p>
        </w:tc>
        <w:tc>
          <w:tcPr>
            <w:tcW w:w="1558" w:type="dxa"/>
            <w:vMerge w:val="restart"/>
          </w:tcPr>
          <w:p w:rsidR="00286982" w:rsidRPr="00183B14" w:rsidRDefault="00286982" w:rsidP="00803D32">
            <w:pPr>
              <w:jc w:val="center"/>
              <w:rPr>
                <w:b/>
              </w:rPr>
            </w:pPr>
          </w:p>
          <w:p w:rsidR="00286982" w:rsidRPr="00183B14" w:rsidRDefault="00286982" w:rsidP="00803D32">
            <w:pPr>
              <w:jc w:val="center"/>
              <w:rPr>
                <w:b/>
              </w:rPr>
            </w:pPr>
          </w:p>
          <w:p w:rsidR="00286982" w:rsidRPr="00183B14" w:rsidRDefault="00286982" w:rsidP="00803D32">
            <w:pPr>
              <w:jc w:val="center"/>
              <w:rPr>
                <w:b/>
              </w:rPr>
            </w:pPr>
            <w:r w:rsidRPr="00183B14">
              <w:rPr>
                <w:b/>
              </w:rPr>
              <w:t>8</w:t>
            </w:r>
          </w:p>
        </w:tc>
        <w:tc>
          <w:tcPr>
            <w:tcW w:w="1558" w:type="dxa"/>
          </w:tcPr>
          <w:p w:rsidR="00286982" w:rsidRPr="000A22FE" w:rsidRDefault="00286982" w:rsidP="00803D32">
            <w:pPr>
              <w:jc w:val="center"/>
              <w:rPr>
                <w:sz w:val="16"/>
                <w:szCs w:val="16"/>
              </w:rPr>
            </w:pPr>
            <w:r w:rsidRPr="000A22FE">
              <w:rPr>
                <w:sz w:val="16"/>
                <w:szCs w:val="16"/>
              </w:rPr>
              <w:t>0-2</w:t>
            </w:r>
          </w:p>
        </w:tc>
        <w:tc>
          <w:tcPr>
            <w:tcW w:w="1558" w:type="dxa"/>
          </w:tcPr>
          <w:p w:rsidR="00286982" w:rsidRPr="000A22FE" w:rsidRDefault="00286982" w:rsidP="00803D32">
            <w:pPr>
              <w:jc w:val="center"/>
              <w:rPr>
                <w:sz w:val="16"/>
                <w:szCs w:val="16"/>
              </w:rPr>
            </w:pPr>
            <w:r w:rsidRPr="000A22FE">
              <w:rPr>
                <w:sz w:val="16"/>
                <w:szCs w:val="16"/>
              </w:rPr>
              <w:t>3-4</w:t>
            </w:r>
          </w:p>
        </w:tc>
        <w:tc>
          <w:tcPr>
            <w:tcW w:w="1559" w:type="dxa"/>
          </w:tcPr>
          <w:p w:rsidR="00286982" w:rsidRPr="000A22FE" w:rsidRDefault="00286982" w:rsidP="00803D32">
            <w:pPr>
              <w:jc w:val="center"/>
              <w:rPr>
                <w:sz w:val="16"/>
                <w:szCs w:val="16"/>
              </w:rPr>
            </w:pPr>
            <w:r w:rsidRPr="000A22FE">
              <w:rPr>
                <w:sz w:val="16"/>
                <w:szCs w:val="16"/>
              </w:rPr>
              <w:t>5-6</w:t>
            </w:r>
          </w:p>
        </w:tc>
        <w:tc>
          <w:tcPr>
            <w:tcW w:w="1559" w:type="dxa"/>
          </w:tcPr>
          <w:p w:rsidR="00286982" w:rsidRPr="000A22FE" w:rsidRDefault="00286982" w:rsidP="00803D32">
            <w:pPr>
              <w:jc w:val="center"/>
              <w:rPr>
                <w:sz w:val="16"/>
                <w:szCs w:val="16"/>
              </w:rPr>
            </w:pPr>
            <w:r w:rsidRPr="000A22FE">
              <w:rPr>
                <w:sz w:val="16"/>
                <w:szCs w:val="16"/>
              </w:rPr>
              <w:t>7-8</w:t>
            </w:r>
          </w:p>
        </w:tc>
      </w:tr>
      <w:tr w:rsidR="00286982" w:rsidTr="00803D32">
        <w:tc>
          <w:tcPr>
            <w:tcW w:w="1558" w:type="dxa"/>
            <w:vMerge/>
          </w:tcPr>
          <w:p w:rsidR="00286982" w:rsidRDefault="00286982" w:rsidP="00803D32"/>
        </w:tc>
        <w:tc>
          <w:tcPr>
            <w:tcW w:w="1558" w:type="dxa"/>
            <w:vMerge/>
          </w:tcPr>
          <w:p w:rsidR="00286982" w:rsidRDefault="00286982" w:rsidP="00803D32">
            <w:pPr>
              <w:jc w:val="center"/>
            </w:pPr>
          </w:p>
        </w:tc>
        <w:tc>
          <w:tcPr>
            <w:tcW w:w="1558" w:type="dxa"/>
          </w:tcPr>
          <w:p w:rsidR="00286982" w:rsidRPr="000A22FE" w:rsidRDefault="00286982" w:rsidP="00803D32">
            <w:pPr>
              <w:rPr>
                <w:sz w:val="16"/>
                <w:szCs w:val="16"/>
              </w:rPr>
            </w:pPr>
            <w:r>
              <w:rPr>
                <w:sz w:val="16"/>
                <w:szCs w:val="16"/>
              </w:rPr>
              <w:t xml:space="preserve">Poor writing and presentation </w:t>
            </w:r>
            <w:proofErr w:type="gramStart"/>
            <w:r>
              <w:rPr>
                <w:sz w:val="16"/>
                <w:szCs w:val="16"/>
              </w:rPr>
              <w:t>skills,</w:t>
            </w:r>
            <w:proofErr w:type="gramEnd"/>
            <w:r>
              <w:rPr>
                <w:sz w:val="16"/>
                <w:szCs w:val="16"/>
              </w:rPr>
              <w:t xml:space="preserve"> or no presentation provided. </w:t>
            </w:r>
          </w:p>
          <w:p w:rsidR="00286982" w:rsidRPr="000A22FE" w:rsidRDefault="00286982" w:rsidP="00803D32">
            <w:pPr>
              <w:rPr>
                <w:sz w:val="16"/>
                <w:szCs w:val="16"/>
              </w:rPr>
            </w:pPr>
          </w:p>
        </w:tc>
        <w:tc>
          <w:tcPr>
            <w:tcW w:w="1558" w:type="dxa"/>
          </w:tcPr>
          <w:p w:rsidR="00286982" w:rsidRPr="000A22FE" w:rsidRDefault="00286982" w:rsidP="00803D32">
            <w:pPr>
              <w:rPr>
                <w:sz w:val="16"/>
                <w:szCs w:val="16"/>
              </w:rPr>
            </w:pPr>
            <w:r>
              <w:rPr>
                <w:sz w:val="16"/>
                <w:szCs w:val="16"/>
              </w:rPr>
              <w:t>Several problems noted in regard to writing and presentation skills.</w:t>
            </w:r>
          </w:p>
        </w:tc>
        <w:tc>
          <w:tcPr>
            <w:tcW w:w="1559" w:type="dxa"/>
          </w:tcPr>
          <w:p w:rsidR="00286982" w:rsidRPr="000A22FE" w:rsidRDefault="00286982" w:rsidP="00803D32">
            <w:pPr>
              <w:rPr>
                <w:sz w:val="16"/>
                <w:szCs w:val="16"/>
              </w:rPr>
            </w:pPr>
            <w:r>
              <w:rPr>
                <w:sz w:val="16"/>
                <w:szCs w:val="16"/>
              </w:rPr>
              <w:t>Writing and presentation done well with a few minor errors</w:t>
            </w:r>
          </w:p>
        </w:tc>
        <w:tc>
          <w:tcPr>
            <w:tcW w:w="1559" w:type="dxa"/>
          </w:tcPr>
          <w:p w:rsidR="00286982" w:rsidRPr="000A22FE" w:rsidRDefault="00286982" w:rsidP="00803D32">
            <w:pPr>
              <w:rPr>
                <w:sz w:val="16"/>
                <w:szCs w:val="16"/>
              </w:rPr>
            </w:pPr>
            <w:r>
              <w:rPr>
                <w:sz w:val="16"/>
                <w:szCs w:val="16"/>
              </w:rPr>
              <w:t xml:space="preserve">Virtually no errors in writing or presentation. </w:t>
            </w:r>
          </w:p>
        </w:tc>
      </w:tr>
      <w:tr w:rsidR="00286982" w:rsidTr="00803D32">
        <w:tc>
          <w:tcPr>
            <w:tcW w:w="1558" w:type="dxa"/>
          </w:tcPr>
          <w:p w:rsidR="00286982" w:rsidRDefault="00286982" w:rsidP="00803D32"/>
        </w:tc>
        <w:tc>
          <w:tcPr>
            <w:tcW w:w="1558" w:type="dxa"/>
          </w:tcPr>
          <w:p w:rsidR="00286982" w:rsidRDefault="00286982" w:rsidP="00803D32">
            <w:pPr>
              <w:jc w:val="center"/>
            </w:pPr>
          </w:p>
        </w:tc>
        <w:tc>
          <w:tcPr>
            <w:tcW w:w="1558" w:type="dxa"/>
          </w:tcPr>
          <w:p w:rsidR="00286982" w:rsidRDefault="00286982" w:rsidP="00803D32"/>
        </w:tc>
        <w:tc>
          <w:tcPr>
            <w:tcW w:w="1558" w:type="dxa"/>
          </w:tcPr>
          <w:p w:rsidR="00286982" w:rsidRDefault="00286982" w:rsidP="00803D32"/>
        </w:tc>
        <w:tc>
          <w:tcPr>
            <w:tcW w:w="1559" w:type="dxa"/>
          </w:tcPr>
          <w:p w:rsidR="00286982" w:rsidRDefault="00286982" w:rsidP="00803D32"/>
        </w:tc>
        <w:tc>
          <w:tcPr>
            <w:tcW w:w="1559" w:type="dxa"/>
          </w:tcPr>
          <w:p w:rsidR="00286982" w:rsidRDefault="00286982" w:rsidP="00803D32"/>
        </w:tc>
      </w:tr>
    </w:tbl>
    <w:p w:rsidR="00286982" w:rsidRPr="00C67B43" w:rsidRDefault="00286982" w:rsidP="00CE46C2">
      <w:pPr>
        <w:rPr>
          <w:rStyle w:val="tx"/>
          <w:bdr w:val="none" w:sz="0" w:space="0" w:color="auto" w:frame="1"/>
        </w:rPr>
      </w:pPr>
    </w:p>
    <w:sectPr w:rsidR="00286982" w:rsidRPr="00C67B4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9C2" w:rsidRDefault="00B039C2" w:rsidP="00F7645B">
      <w:pPr>
        <w:spacing w:after="0" w:line="240" w:lineRule="auto"/>
      </w:pPr>
      <w:r>
        <w:separator/>
      </w:r>
    </w:p>
  </w:endnote>
  <w:endnote w:type="continuationSeparator" w:id="0">
    <w:p w:rsidR="00B039C2" w:rsidRDefault="00B039C2" w:rsidP="00F7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36450"/>
      <w:docPartObj>
        <w:docPartGallery w:val="Page Numbers (Bottom of Page)"/>
        <w:docPartUnique/>
      </w:docPartObj>
    </w:sdtPr>
    <w:sdtEndPr>
      <w:rPr>
        <w:noProof/>
      </w:rPr>
    </w:sdtEndPr>
    <w:sdtContent>
      <w:p w:rsidR="00F7645B" w:rsidRDefault="00F7645B">
        <w:pPr>
          <w:pStyle w:val="Footer"/>
          <w:jc w:val="center"/>
        </w:pPr>
        <w:r>
          <w:fldChar w:fldCharType="begin"/>
        </w:r>
        <w:r>
          <w:instrText xml:space="preserve"> PAGE   \* MERGEFORMAT </w:instrText>
        </w:r>
        <w:r>
          <w:fldChar w:fldCharType="separate"/>
        </w:r>
        <w:r w:rsidR="00561ACC">
          <w:rPr>
            <w:noProof/>
          </w:rPr>
          <w:t>1</w:t>
        </w:r>
        <w:r>
          <w:rPr>
            <w:noProof/>
          </w:rPr>
          <w:fldChar w:fldCharType="end"/>
        </w:r>
      </w:p>
    </w:sdtContent>
  </w:sdt>
  <w:p w:rsidR="00F7645B" w:rsidRDefault="00F76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9C2" w:rsidRDefault="00B039C2" w:rsidP="00F7645B">
      <w:pPr>
        <w:spacing w:after="0" w:line="240" w:lineRule="auto"/>
      </w:pPr>
      <w:r>
        <w:separator/>
      </w:r>
    </w:p>
  </w:footnote>
  <w:footnote w:type="continuationSeparator" w:id="0">
    <w:p w:rsidR="00B039C2" w:rsidRDefault="00B039C2" w:rsidP="00F76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5B" w:rsidRDefault="00F7645B" w:rsidP="00F7645B">
    <w:pPr>
      <w:pStyle w:val="Heading1"/>
    </w:pPr>
    <w:r>
      <w:t xml:space="preserve">FIN515: Week </w:t>
    </w:r>
    <w:r w:rsidR="00CE46C2">
      <w:t>7</w:t>
    </w:r>
    <w:r>
      <w:t xml:space="preserve"> Project – </w:t>
    </w:r>
    <w:r w:rsidR="00CE46C2">
      <w:t>Capital Budgeting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56BED"/>
    <w:multiLevelType w:val="hybridMultilevel"/>
    <w:tmpl w:val="888C09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90233B8"/>
    <w:multiLevelType w:val="hybridMultilevel"/>
    <w:tmpl w:val="384C3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443D84"/>
    <w:multiLevelType w:val="hybridMultilevel"/>
    <w:tmpl w:val="54F81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5B"/>
    <w:rsid w:val="001A0E78"/>
    <w:rsid w:val="00286982"/>
    <w:rsid w:val="002B57DA"/>
    <w:rsid w:val="003F3C07"/>
    <w:rsid w:val="005531D0"/>
    <w:rsid w:val="00561ACC"/>
    <w:rsid w:val="00574748"/>
    <w:rsid w:val="00576D9E"/>
    <w:rsid w:val="0064461A"/>
    <w:rsid w:val="008B04FF"/>
    <w:rsid w:val="009F2D84"/>
    <w:rsid w:val="00B039C2"/>
    <w:rsid w:val="00C67B43"/>
    <w:rsid w:val="00CE46C2"/>
    <w:rsid w:val="00E5337F"/>
    <w:rsid w:val="00EB6CA1"/>
    <w:rsid w:val="00F7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4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uiPriority w:val="9"/>
    <w:unhideWhenUsed/>
    <w:qFormat/>
    <w:rsid w:val="00CE46C2"/>
    <w:pPr>
      <w:keepNext/>
      <w:keepLines/>
      <w:spacing w:before="200" w:after="0" w:line="276" w:lineRule="auto"/>
      <w:outlineLvl w:val="2"/>
    </w:pPr>
    <w:rPr>
      <w:rFonts w:ascii="Calibri" w:eastAsiaTheme="majorEastAsia" w:hAnsi="Calibri" w:cstheme="majorBidi"/>
      <w:b/>
      <w:b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45B"/>
  </w:style>
  <w:style w:type="paragraph" w:styleId="Footer">
    <w:name w:val="footer"/>
    <w:basedOn w:val="Normal"/>
    <w:link w:val="FooterChar"/>
    <w:uiPriority w:val="99"/>
    <w:unhideWhenUsed/>
    <w:rsid w:val="00F76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45B"/>
  </w:style>
  <w:style w:type="character" w:customStyle="1" w:styleId="Heading1Char">
    <w:name w:val="Heading 1 Char"/>
    <w:basedOn w:val="DefaultParagraphFont"/>
    <w:link w:val="Heading1"/>
    <w:uiPriority w:val="9"/>
    <w:rsid w:val="00F7645B"/>
    <w:rPr>
      <w:rFonts w:asciiTheme="majorHAnsi" w:eastAsiaTheme="majorEastAsia" w:hAnsiTheme="majorHAnsi" w:cstheme="majorBidi"/>
      <w:color w:val="2E74B5" w:themeColor="accent1" w:themeShade="BF"/>
      <w:sz w:val="32"/>
      <w:szCs w:val="32"/>
    </w:rPr>
  </w:style>
  <w:style w:type="character" w:customStyle="1" w:styleId="tx">
    <w:name w:val="tx"/>
    <w:basedOn w:val="DefaultParagraphFont"/>
    <w:rsid w:val="00F7645B"/>
  </w:style>
  <w:style w:type="paragraph" w:styleId="ListParagraph">
    <w:name w:val="List Paragraph"/>
    <w:basedOn w:val="Normal"/>
    <w:uiPriority w:val="34"/>
    <w:qFormat/>
    <w:rsid w:val="008B04FF"/>
    <w:pPr>
      <w:ind w:left="720"/>
      <w:contextualSpacing/>
    </w:pPr>
  </w:style>
  <w:style w:type="character" w:styleId="Hyperlink">
    <w:name w:val="Hyperlink"/>
    <w:basedOn w:val="DefaultParagraphFont"/>
    <w:uiPriority w:val="99"/>
    <w:unhideWhenUsed/>
    <w:rsid w:val="008B04FF"/>
    <w:rPr>
      <w:color w:val="0563C1" w:themeColor="hyperlink"/>
      <w:u w:val="single"/>
    </w:rPr>
  </w:style>
  <w:style w:type="character" w:styleId="Emphasis">
    <w:name w:val="Emphasis"/>
    <w:basedOn w:val="DefaultParagraphFont"/>
    <w:uiPriority w:val="20"/>
    <w:qFormat/>
    <w:rsid w:val="003F3C07"/>
    <w:rPr>
      <w:i/>
      <w:iCs/>
    </w:rPr>
  </w:style>
  <w:style w:type="character" w:customStyle="1" w:styleId="Heading3Char">
    <w:name w:val="Heading 3 Char"/>
    <w:basedOn w:val="DefaultParagraphFont"/>
    <w:link w:val="Heading3"/>
    <w:uiPriority w:val="9"/>
    <w:rsid w:val="00CE46C2"/>
    <w:rPr>
      <w:rFonts w:ascii="Calibri" w:eastAsiaTheme="majorEastAsia" w:hAnsi="Calibri" w:cstheme="majorBidi"/>
      <w:b/>
      <w:bCs/>
      <w:color w:val="2E74B5" w:themeColor="accent1" w:themeShade="BF"/>
      <w:sz w:val="24"/>
    </w:rPr>
  </w:style>
  <w:style w:type="table" w:styleId="TableGrid">
    <w:name w:val="Table Grid"/>
    <w:basedOn w:val="TableNormal"/>
    <w:uiPriority w:val="39"/>
    <w:rsid w:val="0028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4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uiPriority w:val="9"/>
    <w:unhideWhenUsed/>
    <w:qFormat/>
    <w:rsid w:val="00CE46C2"/>
    <w:pPr>
      <w:keepNext/>
      <w:keepLines/>
      <w:spacing w:before="200" w:after="0" w:line="276" w:lineRule="auto"/>
      <w:outlineLvl w:val="2"/>
    </w:pPr>
    <w:rPr>
      <w:rFonts w:ascii="Calibri" w:eastAsiaTheme="majorEastAsia" w:hAnsi="Calibri" w:cstheme="majorBidi"/>
      <w:b/>
      <w:b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45B"/>
  </w:style>
  <w:style w:type="paragraph" w:styleId="Footer">
    <w:name w:val="footer"/>
    <w:basedOn w:val="Normal"/>
    <w:link w:val="FooterChar"/>
    <w:uiPriority w:val="99"/>
    <w:unhideWhenUsed/>
    <w:rsid w:val="00F76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45B"/>
  </w:style>
  <w:style w:type="character" w:customStyle="1" w:styleId="Heading1Char">
    <w:name w:val="Heading 1 Char"/>
    <w:basedOn w:val="DefaultParagraphFont"/>
    <w:link w:val="Heading1"/>
    <w:uiPriority w:val="9"/>
    <w:rsid w:val="00F7645B"/>
    <w:rPr>
      <w:rFonts w:asciiTheme="majorHAnsi" w:eastAsiaTheme="majorEastAsia" w:hAnsiTheme="majorHAnsi" w:cstheme="majorBidi"/>
      <w:color w:val="2E74B5" w:themeColor="accent1" w:themeShade="BF"/>
      <w:sz w:val="32"/>
      <w:szCs w:val="32"/>
    </w:rPr>
  </w:style>
  <w:style w:type="character" w:customStyle="1" w:styleId="tx">
    <w:name w:val="tx"/>
    <w:basedOn w:val="DefaultParagraphFont"/>
    <w:rsid w:val="00F7645B"/>
  </w:style>
  <w:style w:type="paragraph" w:styleId="ListParagraph">
    <w:name w:val="List Paragraph"/>
    <w:basedOn w:val="Normal"/>
    <w:uiPriority w:val="34"/>
    <w:qFormat/>
    <w:rsid w:val="008B04FF"/>
    <w:pPr>
      <w:ind w:left="720"/>
      <w:contextualSpacing/>
    </w:pPr>
  </w:style>
  <w:style w:type="character" w:styleId="Hyperlink">
    <w:name w:val="Hyperlink"/>
    <w:basedOn w:val="DefaultParagraphFont"/>
    <w:uiPriority w:val="99"/>
    <w:unhideWhenUsed/>
    <w:rsid w:val="008B04FF"/>
    <w:rPr>
      <w:color w:val="0563C1" w:themeColor="hyperlink"/>
      <w:u w:val="single"/>
    </w:rPr>
  </w:style>
  <w:style w:type="character" w:styleId="Emphasis">
    <w:name w:val="Emphasis"/>
    <w:basedOn w:val="DefaultParagraphFont"/>
    <w:uiPriority w:val="20"/>
    <w:qFormat/>
    <w:rsid w:val="003F3C07"/>
    <w:rPr>
      <w:i/>
      <w:iCs/>
    </w:rPr>
  </w:style>
  <w:style w:type="character" w:customStyle="1" w:styleId="Heading3Char">
    <w:name w:val="Heading 3 Char"/>
    <w:basedOn w:val="DefaultParagraphFont"/>
    <w:link w:val="Heading3"/>
    <w:uiPriority w:val="9"/>
    <w:rsid w:val="00CE46C2"/>
    <w:rPr>
      <w:rFonts w:ascii="Calibri" w:eastAsiaTheme="majorEastAsia" w:hAnsi="Calibri" w:cstheme="majorBidi"/>
      <w:b/>
      <w:bCs/>
      <w:color w:val="2E74B5" w:themeColor="accent1" w:themeShade="BF"/>
      <w:sz w:val="24"/>
    </w:rPr>
  </w:style>
  <w:style w:type="table" w:styleId="TableGrid">
    <w:name w:val="Table Grid"/>
    <w:basedOn w:val="TableNormal"/>
    <w:uiPriority w:val="39"/>
    <w:rsid w:val="0028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John</dc:creator>
  <cp:lastModifiedBy>Chambers, Ann</cp:lastModifiedBy>
  <cp:revision>2</cp:revision>
  <dcterms:created xsi:type="dcterms:W3CDTF">2017-02-07T23:08:00Z</dcterms:created>
  <dcterms:modified xsi:type="dcterms:W3CDTF">2017-02-07T23:08:00Z</dcterms:modified>
</cp:coreProperties>
</file>