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C0" w:rsidRPr="00F560BE" w:rsidRDefault="00B51DC0" w:rsidP="00B51DC0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b/>
          <w:sz w:val="22"/>
          <w:szCs w:val="22"/>
        </w:rPr>
        <w:t xml:space="preserve">Problem 2 </w:t>
      </w:r>
      <w:bookmarkStart w:id="0" w:name="_GoBack"/>
      <w:bookmarkEnd w:id="0"/>
    </w:p>
    <w:p w:rsidR="00B51DC0" w:rsidRPr="00F560BE" w:rsidRDefault="00B51DC0" w:rsidP="00B51DC0">
      <w:pPr>
        <w:spacing w:before="12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 xml:space="preserve">Ajax Auto Upholstery Ltd. manufactures upholstered products for automobiles, vans, and trucks.  Among the various Ajax plants around Canada is the </w:t>
      </w:r>
      <w:proofErr w:type="spellStart"/>
      <w:r w:rsidRPr="00F560BE">
        <w:rPr>
          <w:rFonts w:asciiTheme="minorHAnsi" w:hAnsiTheme="minorHAnsi" w:cs="Calibri"/>
          <w:sz w:val="22"/>
          <w:szCs w:val="22"/>
        </w:rPr>
        <w:t>Owlseye</w:t>
      </w:r>
      <w:proofErr w:type="spellEnd"/>
      <w:r w:rsidRPr="00F560BE">
        <w:rPr>
          <w:rFonts w:asciiTheme="minorHAnsi" w:hAnsiTheme="minorHAnsi" w:cs="Calibri"/>
          <w:sz w:val="22"/>
          <w:szCs w:val="22"/>
        </w:rPr>
        <w:t xml:space="preserve"> plant located in rural Alberta</w:t>
      </w:r>
      <w:r>
        <w:rPr>
          <w:rFonts w:asciiTheme="minorHAnsi" w:hAnsiTheme="minorHAnsi" w:cs="Calibri"/>
          <w:sz w:val="22"/>
          <w:szCs w:val="22"/>
        </w:rPr>
        <w:t>.</w:t>
      </w:r>
    </w:p>
    <w:p w:rsidR="00B51DC0" w:rsidRPr="00F560BE" w:rsidRDefault="00B51DC0" w:rsidP="00B51DC0">
      <w:pPr>
        <w:spacing w:before="12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 xml:space="preserve">The chief financial officer has just received a report indicating that Ajax could purchase the entire annual output of the </w:t>
      </w:r>
      <w:proofErr w:type="spellStart"/>
      <w:r w:rsidRPr="00F560BE">
        <w:rPr>
          <w:rFonts w:asciiTheme="minorHAnsi" w:hAnsiTheme="minorHAnsi" w:cs="Calibri"/>
          <w:sz w:val="22"/>
          <w:szCs w:val="22"/>
        </w:rPr>
        <w:t>Owlseye</w:t>
      </w:r>
      <w:proofErr w:type="spellEnd"/>
      <w:r w:rsidRPr="00F560BE">
        <w:rPr>
          <w:rFonts w:asciiTheme="minorHAnsi" w:hAnsiTheme="minorHAnsi" w:cs="Calibri"/>
          <w:sz w:val="22"/>
          <w:szCs w:val="22"/>
        </w:rPr>
        <w:t xml:space="preserve"> plant from </w:t>
      </w:r>
      <w:r>
        <w:rPr>
          <w:rFonts w:asciiTheme="minorHAnsi" w:hAnsiTheme="minorHAnsi" w:cs="Calibri"/>
          <w:sz w:val="22"/>
          <w:szCs w:val="22"/>
        </w:rPr>
        <w:t>a foreign supplier</w:t>
      </w:r>
      <w:r w:rsidRPr="00F560BE">
        <w:rPr>
          <w:rFonts w:asciiTheme="minorHAnsi" w:hAnsiTheme="minorHAnsi" w:cs="Calibri"/>
          <w:sz w:val="22"/>
          <w:szCs w:val="22"/>
        </w:rPr>
        <w:t xml:space="preserve"> for $</w:t>
      </w:r>
      <w:r>
        <w:rPr>
          <w:rFonts w:asciiTheme="minorHAnsi" w:hAnsiTheme="minorHAnsi" w:cs="Calibri"/>
          <w:sz w:val="22"/>
          <w:szCs w:val="22"/>
        </w:rPr>
        <w:t>37</w:t>
      </w:r>
      <w:r w:rsidRPr="00F560BE">
        <w:rPr>
          <w:rFonts w:asciiTheme="minorHAnsi" w:hAnsiTheme="minorHAnsi" w:cs="Calibri"/>
          <w:sz w:val="22"/>
          <w:szCs w:val="22"/>
        </w:rPr>
        <w:t xml:space="preserve"> million</w:t>
      </w:r>
      <w:r>
        <w:rPr>
          <w:rFonts w:asciiTheme="minorHAnsi" w:hAnsiTheme="minorHAnsi" w:cs="Calibri"/>
          <w:sz w:val="22"/>
          <w:szCs w:val="22"/>
        </w:rPr>
        <w:t xml:space="preserve"> per year.</w:t>
      </w:r>
    </w:p>
    <w:p w:rsidR="00B51DC0" w:rsidRPr="00F560BE" w:rsidRDefault="00B51DC0" w:rsidP="00B51DC0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>The budget</w:t>
      </w:r>
      <w:r>
        <w:rPr>
          <w:rFonts w:asciiTheme="minorHAnsi" w:hAnsiTheme="minorHAnsi" w:cs="Calibri"/>
          <w:sz w:val="22"/>
          <w:szCs w:val="22"/>
        </w:rPr>
        <w:t>ed operating costs</w:t>
      </w:r>
      <w:r w:rsidRPr="00F560BE">
        <w:rPr>
          <w:rFonts w:asciiTheme="minorHAnsi" w:hAnsiTheme="minorHAnsi" w:cs="Calibri"/>
          <w:sz w:val="22"/>
          <w:szCs w:val="22"/>
        </w:rPr>
        <w:t xml:space="preserve"> (in thousands) for the </w:t>
      </w:r>
      <w:proofErr w:type="spellStart"/>
      <w:r w:rsidRPr="00F560BE">
        <w:rPr>
          <w:rFonts w:asciiTheme="minorHAnsi" w:hAnsiTheme="minorHAnsi" w:cs="Calibri"/>
          <w:sz w:val="22"/>
          <w:szCs w:val="22"/>
        </w:rPr>
        <w:t>Owlseye</w:t>
      </w:r>
      <w:proofErr w:type="spellEnd"/>
      <w:r w:rsidRPr="00F560BE">
        <w:rPr>
          <w:rFonts w:asciiTheme="minorHAnsi" w:hAnsiTheme="minorHAnsi" w:cs="Calibri"/>
          <w:sz w:val="22"/>
          <w:szCs w:val="22"/>
        </w:rPr>
        <w:t xml:space="preserve"> plant’s for the coming year is as follows: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>Materials</w:t>
      </w:r>
      <w:r w:rsidRPr="00F560BE">
        <w:rPr>
          <w:rFonts w:asciiTheme="minorHAnsi" w:hAnsiTheme="minorHAnsi" w:cs="Calibri"/>
          <w:sz w:val="22"/>
          <w:szCs w:val="22"/>
        </w:rPr>
        <w:tab/>
      </w:r>
      <w:r w:rsidRPr="00F560BE">
        <w:rPr>
          <w:rFonts w:asciiTheme="minorHAnsi" w:hAnsiTheme="minorHAnsi" w:cs="Calibri"/>
          <w:sz w:val="22"/>
          <w:szCs w:val="22"/>
        </w:rPr>
        <w:tab/>
        <w:t>$15,000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>Labor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Direct</w:t>
      </w:r>
      <w:r w:rsidRPr="00F560BE">
        <w:rPr>
          <w:rFonts w:asciiTheme="minorHAnsi" w:hAnsiTheme="minorHAnsi" w:cs="Calibri"/>
          <w:sz w:val="22"/>
          <w:szCs w:val="22"/>
        </w:rPr>
        <w:tab/>
        <w:t>$12,000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Supervision</w:t>
      </w:r>
      <w:r w:rsidRPr="00F560BE">
        <w:rPr>
          <w:rFonts w:asciiTheme="minorHAnsi" w:hAnsiTheme="minorHAnsi" w:cs="Calibri"/>
          <w:sz w:val="22"/>
          <w:szCs w:val="22"/>
        </w:rPr>
        <w:tab/>
        <w:t>4,000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Indirect plant</w:t>
      </w:r>
      <w:r w:rsidRPr="00F560BE">
        <w:rPr>
          <w:rFonts w:asciiTheme="minorHAnsi" w:hAnsiTheme="minorHAnsi" w:cs="Calibri"/>
          <w:sz w:val="22"/>
          <w:szCs w:val="22"/>
        </w:rPr>
        <w:tab/>
      </w:r>
      <w:r w:rsidRPr="00F560BE">
        <w:rPr>
          <w:rFonts w:asciiTheme="minorHAnsi" w:hAnsiTheme="minorHAnsi" w:cs="Calibri"/>
          <w:sz w:val="22"/>
          <w:szCs w:val="22"/>
          <w:u w:val="single"/>
        </w:rPr>
        <w:t>5,000</w:t>
      </w:r>
      <w:r w:rsidRPr="00F560BE">
        <w:rPr>
          <w:rFonts w:asciiTheme="minorHAnsi" w:hAnsiTheme="minorHAnsi" w:cs="Calibri"/>
          <w:sz w:val="22"/>
          <w:szCs w:val="22"/>
        </w:rPr>
        <w:tab/>
        <w:t xml:space="preserve"> 19,000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>Overhead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Depreciation – </w:t>
      </w:r>
      <w:r>
        <w:rPr>
          <w:rFonts w:asciiTheme="minorHAnsi" w:hAnsiTheme="minorHAnsi" w:cs="Calibri"/>
          <w:sz w:val="22"/>
          <w:szCs w:val="22"/>
        </w:rPr>
        <w:t>p</w:t>
      </w:r>
      <w:r w:rsidRPr="00F560BE">
        <w:rPr>
          <w:rFonts w:asciiTheme="minorHAnsi" w:hAnsiTheme="minorHAnsi" w:cs="Calibri"/>
          <w:sz w:val="22"/>
          <w:szCs w:val="22"/>
        </w:rPr>
        <w:t>lant</w:t>
      </w:r>
      <w:r w:rsidRPr="00F560BE">
        <w:rPr>
          <w:rFonts w:asciiTheme="minorHAnsi" w:hAnsiTheme="minorHAnsi" w:cs="Calibri"/>
          <w:sz w:val="22"/>
          <w:szCs w:val="22"/>
        </w:rPr>
        <w:tab/>
        <w:t xml:space="preserve"> 6,000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Utilities, property tax, maintenance</w:t>
      </w:r>
      <w:r w:rsidRPr="00F560BE">
        <w:rPr>
          <w:rFonts w:asciiTheme="minorHAnsi" w:hAnsiTheme="minorHAnsi" w:cs="Calibri"/>
          <w:sz w:val="22"/>
          <w:szCs w:val="22"/>
        </w:rPr>
        <w:tab/>
        <w:t xml:space="preserve">    2,000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Pension expense</w:t>
      </w:r>
      <w:r w:rsidRPr="00F560BE">
        <w:rPr>
          <w:rFonts w:asciiTheme="minorHAnsi" w:hAnsiTheme="minorHAnsi" w:cs="Calibri"/>
          <w:sz w:val="22"/>
          <w:szCs w:val="22"/>
        </w:rPr>
        <w:tab/>
        <w:t xml:space="preserve">    4,500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Plant manager and staff</w:t>
      </w:r>
      <w:r w:rsidRPr="00F560BE">
        <w:rPr>
          <w:rFonts w:asciiTheme="minorHAnsi" w:hAnsiTheme="minorHAnsi" w:cs="Calibri"/>
          <w:sz w:val="22"/>
          <w:szCs w:val="22"/>
        </w:rPr>
        <w:tab/>
        <w:t xml:space="preserve">    2,500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 xml:space="preserve">   Corporate headquarters </w:t>
      </w:r>
      <w:r>
        <w:rPr>
          <w:rFonts w:asciiTheme="minorHAnsi" w:hAnsiTheme="minorHAnsi" w:cs="Calibri"/>
          <w:sz w:val="22"/>
          <w:szCs w:val="22"/>
        </w:rPr>
        <w:t>overhead</w:t>
      </w:r>
      <w:r w:rsidRPr="00F560BE">
        <w:rPr>
          <w:rFonts w:asciiTheme="minorHAnsi" w:hAnsiTheme="minorHAnsi" w:cs="Calibri"/>
          <w:sz w:val="22"/>
          <w:szCs w:val="22"/>
        </w:rPr>
        <w:t xml:space="preserve"> allocation</w:t>
      </w:r>
      <w:r w:rsidRPr="00F560BE">
        <w:rPr>
          <w:rFonts w:asciiTheme="minorHAnsi" w:hAnsiTheme="minorHAnsi" w:cs="Calibri"/>
          <w:sz w:val="22"/>
          <w:szCs w:val="22"/>
        </w:rPr>
        <w:tab/>
        <w:t xml:space="preserve">    </w:t>
      </w:r>
      <w:r w:rsidRPr="00F560BE">
        <w:rPr>
          <w:rFonts w:asciiTheme="minorHAnsi" w:hAnsiTheme="minorHAnsi" w:cs="Calibri"/>
          <w:sz w:val="22"/>
          <w:szCs w:val="22"/>
          <w:u w:val="single"/>
        </w:rPr>
        <w:t>3,000</w:t>
      </w:r>
      <w:r w:rsidRPr="00F560BE">
        <w:rPr>
          <w:rFonts w:asciiTheme="minorHAnsi" w:hAnsiTheme="minorHAnsi" w:cs="Calibri"/>
          <w:sz w:val="22"/>
          <w:szCs w:val="22"/>
        </w:rPr>
        <w:tab/>
      </w:r>
      <w:r w:rsidRPr="00F560BE">
        <w:rPr>
          <w:rFonts w:asciiTheme="minorHAnsi" w:hAnsiTheme="minorHAnsi" w:cs="Calibri"/>
          <w:sz w:val="22"/>
          <w:szCs w:val="22"/>
          <w:u w:val="single"/>
        </w:rPr>
        <w:t xml:space="preserve">  18,000</w:t>
      </w:r>
    </w:p>
    <w:p w:rsidR="00B51DC0" w:rsidRPr="00F560BE" w:rsidRDefault="00B51DC0" w:rsidP="00B51DC0">
      <w:pPr>
        <w:tabs>
          <w:tab w:val="left" w:pos="810"/>
          <w:tab w:val="right" w:pos="5760"/>
          <w:tab w:val="right" w:pos="720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ab/>
        <w:t>Total budgeted costs</w:t>
      </w:r>
      <w:r w:rsidRPr="00F560BE">
        <w:rPr>
          <w:rFonts w:asciiTheme="minorHAnsi" w:hAnsiTheme="minorHAnsi" w:cs="Calibri"/>
          <w:sz w:val="22"/>
          <w:szCs w:val="22"/>
        </w:rPr>
        <w:tab/>
      </w:r>
      <w:r w:rsidRPr="00F560BE">
        <w:rPr>
          <w:rFonts w:asciiTheme="minorHAnsi" w:hAnsiTheme="minorHAnsi" w:cs="Calibri"/>
          <w:sz w:val="22"/>
          <w:szCs w:val="22"/>
        </w:rPr>
        <w:tab/>
      </w:r>
      <w:r w:rsidRPr="00F560BE">
        <w:rPr>
          <w:rFonts w:asciiTheme="minorHAnsi" w:hAnsiTheme="minorHAnsi" w:cs="Calibri"/>
          <w:sz w:val="22"/>
          <w:szCs w:val="22"/>
          <w:u w:val="double"/>
        </w:rPr>
        <w:t>$52,000</w:t>
      </w:r>
    </w:p>
    <w:p w:rsidR="00B51DC0" w:rsidRPr="00F560BE" w:rsidRDefault="00B51DC0" w:rsidP="00B51DC0">
      <w:pPr>
        <w:tabs>
          <w:tab w:val="left" w:pos="360"/>
          <w:tab w:val="right" w:pos="4320"/>
          <w:tab w:val="right" w:pos="5760"/>
        </w:tabs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B51DC0" w:rsidRPr="00F560BE" w:rsidRDefault="00B51DC0" w:rsidP="00B51DC0">
      <w:pPr>
        <w:spacing w:before="120" w:line="24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If material purchase</w:t>
      </w:r>
      <w:r w:rsidRPr="00F560BE">
        <w:rPr>
          <w:rFonts w:asciiTheme="minorHAnsi" w:hAnsiTheme="minorHAnsi" w:cs="Calibri"/>
          <w:sz w:val="22"/>
          <w:szCs w:val="22"/>
        </w:rPr>
        <w:t xml:space="preserve"> orders </w:t>
      </w:r>
      <w:proofErr w:type="gramStart"/>
      <w:r w:rsidRPr="00F560BE">
        <w:rPr>
          <w:rFonts w:asciiTheme="minorHAnsi" w:hAnsiTheme="minorHAnsi" w:cs="Calibri"/>
          <w:sz w:val="22"/>
          <w:szCs w:val="22"/>
        </w:rPr>
        <w:t>are</w:t>
      </w:r>
      <w:proofErr w:type="gramEnd"/>
      <w:r w:rsidRPr="00F560BE">
        <w:rPr>
          <w:rFonts w:asciiTheme="minorHAnsi" w:hAnsiTheme="minorHAnsi" w:cs="Calibri"/>
          <w:sz w:val="22"/>
          <w:szCs w:val="22"/>
        </w:rPr>
        <w:t xml:space="preserve"> cancelled as a consequence of the plant closing, termination charges would amount to 10 percent of the </w:t>
      </w:r>
      <w:r>
        <w:rPr>
          <w:rFonts w:asciiTheme="minorHAnsi" w:hAnsiTheme="minorHAnsi" w:cs="Calibri"/>
          <w:sz w:val="22"/>
          <w:szCs w:val="22"/>
        </w:rPr>
        <w:t xml:space="preserve">annual </w:t>
      </w:r>
      <w:r w:rsidRPr="00F560BE">
        <w:rPr>
          <w:rFonts w:asciiTheme="minorHAnsi" w:hAnsiTheme="minorHAnsi" w:cs="Calibri"/>
          <w:sz w:val="22"/>
          <w:szCs w:val="22"/>
        </w:rPr>
        <w:t xml:space="preserve">cost of direct materials in the first year (zero thereafter).  </w:t>
      </w:r>
    </w:p>
    <w:p w:rsidR="00B51DC0" w:rsidRPr="00F560BE" w:rsidRDefault="00B51DC0" w:rsidP="00B51DC0">
      <w:pPr>
        <w:spacing w:before="12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 xml:space="preserve">A clause in the Ajax union contract requires the company to provide employment assistance to its former employees for 12 months after a plant closes. The estimated cost to administer this service </w:t>
      </w:r>
      <w:r>
        <w:rPr>
          <w:rFonts w:asciiTheme="minorHAnsi" w:hAnsiTheme="minorHAnsi" w:cs="Calibri"/>
          <w:sz w:val="22"/>
          <w:szCs w:val="22"/>
        </w:rPr>
        <w:t xml:space="preserve">if the </w:t>
      </w:r>
      <w:proofErr w:type="spellStart"/>
      <w:r>
        <w:rPr>
          <w:rFonts w:asciiTheme="minorHAnsi" w:hAnsiTheme="minorHAnsi" w:cs="Calibri"/>
          <w:sz w:val="22"/>
          <w:szCs w:val="22"/>
        </w:rPr>
        <w:t>Owlseye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plant closes </w:t>
      </w:r>
      <w:r w:rsidRPr="00F560BE">
        <w:rPr>
          <w:rFonts w:asciiTheme="minorHAnsi" w:hAnsiTheme="minorHAnsi" w:cs="Calibri"/>
          <w:sz w:val="22"/>
          <w:szCs w:val="22"/>
        </w:rPr>
        <w:t>would be $2</w:t>
      </w:r>
      <w:r>
        <w:rPr>
          <w:rFonts w:asciiTheme="minorHAnsi" w:hAnsiTheme="minorHAnsi" w:cs="Calibri"/>
          <w:sz w:val="22"/>
          <w:szCs w:val="22"/>
        </w:rPr>
        <w:t xml:space="preserve"> million. </w:t>
      </w:r>
      <w:r w:rsidRPr="00F560BE">
        <w:rPr>
          <w:rFonts w:asciiTheme="minorHAnsi" w:hAnsiTheme="minorHAnsi" w:cs="Calibri"/>
          <w:sz w:val="22"/>
          <w:szCs w:val="22"/>
        </w:rPr>
        <w:t>$3.6 million of next year’s pension expense would continue indefinitely whether or not the plant remains open.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F560BE">
        <w:rPr>
          <w:rFonts w:asciiTheme="minorHAnsi" w:hAnsiTheme="minorHAnsi" w:cs="Calibri"/>
          <w:sz w:val="22"/>
          <w:szCs w:val="22"/>
        </w:rPr>
        <w:t xml:space="preserve">About $900,000 of </w:t>
      </w:r>
      <w:proofErr w:type="spellStart"/>
      <w:r w:rsidRPr="00F560BE">
        <w:rPr>
          <w:rFonts w:asciiTheme="minorHAnsi" w:hAnsiTheme="minorHAnsi" w:cs="Calibri"/>
          <w:sz w:val="22"/>
          <w:szCs w:val="22"/>
        </w:rPr>
        <w:t>labour</w:t>
      </w:r>
      <w:proofErr w:type="spellEnd"/>
      <w:r w:rsidRPr="00F560BE">
        <w:rPr>
          <w:rFonts w:asciiTheme="minorHAnsi" w:hAnsiTheme="minorHAnsi" w:cs="Calibri"/>
          <w:sz w:val="22"/>
          <w:szCs w:val="22"/>
        </w:rPr>
        <w:t xml:space="preserve"> would still be required in the first year</w:t>
      </w:r>
      <w:r>
        <w:rPr>
          <w:rFonts w:asciiTheme="minorHAnsi" w:hAnsiTheme="minorHAnsi" w:cs="Calibri"/>
          <w:sz w:val="22"/>
          <w:szCs w:val="22"/>
        </w:rPr>
        <w:t xml:space="preserve"> after closure</w:t>
      </w:r>
      <w:r w:rsidRPr="00F560BE">
        <w:rPr>
          <w:rFonts w:asciiTheme="minorHAnsi" w:hAnsiTheme="minorHAnsi" w:cs="Calibri"/>
          <w:sz w:val="22"/>
          <w:szCs w:val="22"/>
        </w:rPr>
        <w:t xml:space="preserve"> to </w:t>
      </w:r>
      <w:r>
        <w:rPr>
          <w:rFonts w:asciiTheme="minorHAnsi" w:hAnsiTheme="minorHAnsi" w:cs="Calibri"/>
          <w:sz w:val="22"/>
          <w:szCs w:val="22"/>
        </w:rPr>
        <w:t>decommission</w:t>
      </w:r>
      <w:r w:rsidRPr="00F560BE">
        <w:rPr>
          <w:rFonts w:asciiTheme="minorHAnsi" w:hAnsiTheme="minorHAnsi" w:cs="Calibri"/>
          <w:sz w:val="22"/>
          <w:szCs w:val="22"/>
        </w:rPr>
        <w:t xml:space="preserve"> the plant. </w:t>
      </w:r>
      <w:r>
        <w:rPr>
          <w:rFonts w:asciiTheme="minorHAnsi" w:hAnsiTheme="minorHAnsi" w:cs="Calibri"/>
          <w:sz w:val="22"/>
          <w:szCs w:val="22"/>
        </w:rPr>
        <w:t>After that, the plant would be sold for an estimated $1 million. Utilities, property taxes, and maintenance costs would remain unchanged in the first year after closure, but disappear when the plant is sold.</w:t>
      </w:r>
    </w:p>
    <w:p w:rsidR="00B51DC0" w:rsidRPr="00F560BE" w:rsidRDefault="00B51DC0" w:rsidP="00B51DC0">
      <w:pPr>
        <w:spacing w:before="120"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 xml:space="preserve">The plant manager and her staff would be somewhat affected by the closing of the </w:t>
      </w:r>
      <w:proofErr w:type="spellStart"/>
      <w:r w:rsidRPr="00F560BE">
        <w:rPr>
          <w:rFonts w:asciiTheme="minorHAnsi" w:hAnsiTheme="minorHAnsi" w:cs="Calibri"/>
          <w:sz w:val="22"/>
          <w:szCs w:val="22"/>
        </w:rPr>
        <w:t>Owlseye</w:t>
      </w:r>
      <w:proofErr w:type="spellEnd"/>
      <w:r w:rsidRPr="00F560BE">
        <w:rPr>
          <w:rFonts w:asciiTheme="minorHAnsi" w:hAnsiTheme="minorHAnsi" w:cs="Calibri"/>
          <w:sz w:val="22"/>
          <w:szCs w:val="22"/>
        </w:rPr>
        <w:t xml:space="preserve"> plant.  Some managers would still be responsible for managing three other plants. As a result, total management salaries would be about 50% of the current level</w:t>
      </w:r>
      <w:r>
        <w:rPr>
          <w:rFonts w:asciiTheme="minorHAnsi" w:hAnsiTheme="minorHAnsi" w:cs="Calibri"/>
          <w:sz w:val="22"/>
          <w:szCs w:val="22"/>
        </w:rPr>
        <w:t>, starting at closure and remaining</w:t>
      </w:r>
      <w:r w:rsidRPr="00F560BE">
        <w:rPr>
          <w:rFonts w:asciiTheme="minorHAnsi" w:hAnsiTheme="minorHAnsi" w:cs="Calibri"/>
          <w:sz w:val="22"/>
          <w:szCs w:val="22"/>
        </w:rPr>
        <w:t xml:space="preserve"> into the future.</w:t>
      </w:r>
    </w:p>
    <w:p w:rsidR="00B51DC0" w:rsidRDefault="00B51DC0" w:rsidP="00B51DC0">
      <w:pPr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br w:type="page"/>
      </w:r>
    </w:p>
    <w:p w:rsidR="00B51DC0" w:rsidRPr="00F560BE" w:rsidRDefault="00B51DC0" w:rsidP="00B51DC0">
      <w:pPr>
        <w:spacing w:after="0" w:line="240" w:lineRule="auto"/>
        <w:rPr>
          <w:rFonts w:asciiTheme="minorHAnsi" w:hAnsiTheme="minorHAnsi" w:cs="Calibri"/>
          <w:i/>
          <w:sz w:val="22"/>
          <w:szCs w:val="22"/>
        </w:rPr>
      </w:pPr>
      <w:r w:rsidRPr="00F560BE">
        <w:rPr>
          <w:rFonts w:asciiTheme="minorHAnsi" w:hAnsiTheme="minorHAnsi" w:cs="Calibri"/>
          <w:i/>
          <w:sz w:val="22"/>
          <w:szCs w:val="22"/>
        </w:rPr>
        <w:lastRenderedPageBreak/>
        <w:t>Required:</w:t>
      </w:r>
    </w:p>
    <w:p w:rsidR="00B51DC0" w:rsidRPr="00F560BE" w:rsidRDefault="00B51DC0" w:rsidP="00B51DC0">
      <w:pPr>
        <w:pStyle w:val="ListParagraph"/>
        <w:spacing w:line="240" w:lineRule="auto"/>
        <w:rPr>
          <w:rFonts w:asciiTheme="minorHAnsi" w:hAnsiTheme="minorHAnsi" w:cs="Calibri"/>
          <w:sz w:val="22"/>
          <w:szCs w:val="22"/>
        </w:rPr>
      </w:pPr>
      <w:r w:rsidRPr="00F560BE">
        <w:rPr>
          <w:rFonts w:asciiTheme="minorHAnsi" w:hAnsiTheme="minorHAnsi" w:cs="Calibri"/>
          <w:sz w:val="22"/>
          <w:szCs w:val="22"/>
        </w:rPr>
        <w:t xml:space="preserve">Assume you are the company’s chief financial officer. Perform a </w:t>
      </w:r>
      <w:r>
        <w:rPr>
          <w:rFonts w:asciiTheme="minorHAnsi" w:hAnsiTheme="minorHAnsi" w:cs="Calibri"/>
          <w:sz w:val="22"/>
          <w:szCs w:val="22"/>
        </w:rPr>
        <w:t xml:space="preserve">five-year </w:t>
      </w:r>
      <w:r w:rsidRPr="00F560BE">
        <w:rPr>
          <w:rFonts w:asciiTheme="minorHAnsi" w:hAnsiTheme="minorHAnsi" w:cs="Calibri"/>
          <w:sz w:val="22"/>
          <w:szCs w:val="22"/>
        </w:rPr>
        <w:t xml:space="preserve">financial analysis and make a recommendation whether to close the </w:t>
      </w:r>
      <w:proofErr w:type="spellStart"/>
      <w:r w:rsidRPr="00F560BE">
        <w:rPr>
          <w:rFonts w:asciiTheme="minorHAnsi" w:hAnsiTheme="minorHAnsi" w:cs="Calibri"/>
          <w:sz w:val="22"/>
          <w:szCs w:val="22"/>
        </w:rPr>
        <w:t>Owlseye</w:t>
      </w:r>
      <w:proofErr w:type="spellEnd"/>
      <w:r w:rsidRPr="00F560BE">
        <w:rPr>
          <w:rFonts w:asciiTheme="minorHAnsi" w:hAnsiTheme="minorHAnsi" w:cs="Calibri"/>
          <w:sz w:val="22"/>
          <w:szCs w:val="22"/>
        </w:rPr>
        <w:t xml:space="preserve"> plant on this basis.  Provide support for </w:t>
      </w:r>
      <w:r>
        <w:rPr>
          <w:rFonts w:asciiTheme="minorHAnsi" w:hAnsiTheme="minorHAnsi" w:cs="Calibri"/>
          <w:sz w:val="22"/>
          <w:szCs w:val="22"/>
        </w:rPr>
        <w:t>and cautions about</w:t>
      </w:r>
      <w:r w:rsidRPr="00F560BE">
        <w:rPr>
          <w:rFonts w:asciiTheme="minorHAnsi" w:hAnsiTheme="minorHAnsi" w:cs="Calibri"/>
          <w:sz w:val="22"/>
          <w:szCs w:val="22"/>
        </w:rPr>
        <w:t xml:space="preserve"> your recommendation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F560BE">
        <w:rPr>
          <w:rFonts w:asciiTheme="minorHAnsi" w:hAnsiTheme="minorHAnsi" w:cs="Calibri"/>
          <w:sz w:val="22"/>
          <w:szCs w:val="22"/>
        </w:rPr>
        <w:t xml:space="preserve">with organized, </w:t>
      </w:r>
      <w:proofErr w:type="gramStart"/>
      <w:r w:rsidRPr="00F560BE">
        <w:rPr>
          <w:rFonts w:asciiTheme="minorHAnsi" w:hAnsiTheme="minorHAnsi" w:cs="Calibri"/>
          <w:sz w:val="22"/>
          <w:szCs w:val="22"/>
        </w:rPr>
        <w:t>clearly-labeled</w:t>
      </w:r>
      <w:proofErr w:type="gramEnd"/>
      <w:r w:rsidRPr="00F560BE">
        <w:rPr>
          <w:rFonts w:asciiTheme="minorHAnsi" w:hAnsiTheme="minorHAnsi" w:cs="Calibri"/>
          <w:sz w:val="22"/>
          <w:szCs w:val="22"/>
        </w:rPr>
        <w:t xml:space="preserve"> data. Use bullet points where appropriate.</w:t>
      </w:r>
    </w:p>
    <w:p w:rsidR="00595955" w:rsidRDefault="00595955"/>
    <w:sectPr w:rsidR="00595955" w:rsidSect="005959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C0"/>
    <w:rsid w:val="00595955"/>
    <w:rsid w:val="00B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BDE7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C0"/>
    <w:pPr>
      <w:spacing w:after="200" w:line="276" w:lineRule="auto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1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C0"/>
    <w:pPr>
      <w:spacing w:after="200" w:line="276" w:lineRule="auto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Macintosh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MacDonald</dc:creator>
  <cp:keywords/>
  <dc:description/>
  <cp:lastModifiedBy>Daniel MacDonald</cp:lastModifiedBy>
  <cp:revision>1</cp:revision>
  <dcterms:created xsi:type="dcterms:W3CDTF">2014-12-11T13:25:00Z</dcterms:created>
  <dcterms:modified xsi:type="dcterms:W3CDTF">2014-12-11T13:25:00Z</dcterms:modified>
</cp:coreProperties>
</file>