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46EB4" w14:textId="77777777" w:rsidR="001007DF" w:rsidRDefault="00183949">
      <w:r>
        <w:t xml:space="preserve">Module </w:t>
      </w:r>
      <w:r w:rsidR="00025C76">
        <w:t xml:space="preserve">9 Review Case Study </w:t>
      </w:r>
      <w:r>
        <w:t xml:space="preserve"> </w:t>
      </w:r>
    </w:p>
    <w:p w14:paraId="6647ADF4" w14:textId="77777777" w:rsidR="00183949" w:rsidRDefault="00183949">
      <w:r>
        <w:t>Chad Rasmusen</w:t>
      </w:r>
    </w:p>
    <w:p w14:paraId="66E95D2E" w14:textId="77777777" w:rsidR="00183949" w:rsidRDefault="00183949">
      <w:r>
        <w:t xml:space="preserve">Embry Riddle Aeronautical University </w:t>
      </w:r>
    </w:p>
    <w:p w14:paraId="21A88B00" w14:textId="77777777" w:rsidR="00183949" w:rsidRDefault="00025C76">
      <w:r>
        <w:t>MGMT 312</w:t>
      </w:r>
    </w:p>
    <w:p w14:paraId="59E937F2" w14:textId="77777777" w:rsidR="00183949" w:rsidRDefault="00183949"/>
    <w:p w14:paraId="63141A8D" w14:textId="77777777" w:rsidR="00025C76" w:rsidRDefault="00025C76"/>
    <w:p w14:paraId="154B72AF" w14:textId="77777777" w:rsidR="00025C76" w:rsidRDefault="00025C76">
      <w:pPr>
        <w:rPr>
          <w:b/>
        </w:rPr>
      </w:pPr>
      <w:r w:rsidRPr="00025C76">
        <w:rPr>
          <w:b/>
        </w:rPr>
        <w:t>Assume Polaris invested $2.12 million to expand its manufacturing capacity. Assume that these projects have a ten-year life and that management requires a 10% internal rate of return on these assets.</w:t>
      </w:r>
    </w:p>
    <w:p w14:paraId="49C2CC63" w14:textId="77777777" w:rsidR="003D05D7" w:rsidRDefault="003D05D7">
      <w:pPr>
        <w:rPr>
          <w:b/>
        </w:rPr>
      </w:pPr>
    </w:p>
    <w:p w14:paraId="523A9F25" w14:textId="665F37CE" w:rsidR="00093F5B" w:rsidRDefault="00093F5B">
      <w:pPr>
        <w:rPr>
          <w:b/>
        </w:rPr>
      </w:pPr>
      <w:hyperlink r:id="rId5" w:history="1">
        <w:r w:rsidRPr="00B556B0">
          <w:rPr>
            <w:rStyle w:val="Hyperlink"/>
            <w:b/>
          </w:rPr>
          <w:t>http://ir.polaris.com/files/doc_financials/annual_reports/Polaris-2014-Annual-Report-Final2.pdf</w:t>
        </w:r>
      </w:hyperlink>
    </w:p>
    <w:p w14:paraId="48996B8B" w14:textId="77777777" w:rsidR="00093F5B" w:rsidRDefault="00093F5B">
      <w:pPr>
        <w:rPr>
          <w:b/>
        </w:rPr>
      </w:pPr>
      <w:bookmarkStart w:id="0" w:name="_GoBack"/>
      <w:bookmarkEnd w:id="0"/>
    </w:p>
    <w:p w14:paraId="5127CDD4" w14:textId="7F100C03" w:rsidR="003D05D7" w:rsidRDefault="003D05D7">
      <w:pPr>
        <w:rPr>
          <w:b/>
        </w:rPr>
      </w:pPr>
      <w:r w:rsidRPr="003D05D7">
        <w:rPr>
          <w:b/>
          <w:highlight w:val="yellow"/>
        </w:rPr>
        <w:t>Can you check this over?</w:t>
      </w:r>
    </w:p>
    <w:p w14:paraId="0A7B66CA" w14:textId="77777777" w:rsidR="00C55E8E" w:rsidRDefault="00C55E8E" w:rsidP="00C55E8E">
      <w:pPr>
        <w:rPr>
          <w:b/>
        </w:rPr>
      </w:pPr>
    </w:p>
    <w:p w14:paraId="3B23043D" w14:textId="77777777" w:rsidR="00C55E8E" w:rsidRDefault="00C55E8E" w:rsidP="00C55E8E">
      <w:pPr>
        <w:rPr>
          <w:b/>
        </w:rPr>
      </w:pPr>
      <w:r>
        <w:rPr>
          <w:b/>
        </w:rPr>
        <w:t xml:space="preserve">1. </w:t>
      </w:r>
      <w:r w:rsidRPr="00C55E8E">
        <w:rPr>
          <w:b/>
        </w:rPr>
        <w:t>What is the amount of annual cash flows that Polaris must earn from these projects to have a 10% internal rate of return? (Hint: Identify the ten-period, 10% factor from the present value of an annuity table, and then divide $2.12 million by the factor to get the annual required cash flows.)</w:t>
      </w:r>
    </w:p>
    <w:p w14:paraId="49665C1F" w14:textId="77777777" w:rsidR="00C55E8E" w:rsidRDefault="00C55E8E" w:rsidP="00C55E8E">
      <w:pPr>
        <w:rPr>
          <w:b/>
        </w:rPr>
      </w:pPr>
    </w:p>
    <w:tbl>
      <w:tblPr>
        <w:tblW w:w="7462" w:type="dxa"/>
        <w:tblInd w:w="108" w:type="dxa"/>
        <w:tblLayout w:type="fixed"/>
        <w:tblLook w:val="04A0" w:firstRow="1" w:lastRow="0" w:firstColumn="1" w:lastColumn="0" w:noHBand="0" w:noVBand="1"/>
      </w:tblPr>
      <w:tblGrid>
        <w:gridCol w:w="1324"/>
        <w:gridCol w:w="2083"/>
        <w:gridCol w:w="4038"/>
        <w:gridCol w:w="17"/>
      </w:tblGrid>
      <w:tr w:rsidR="0018000A" w:rsidRPr="000B2A90" w14:paraId="756298D2" w14:textId="77777777" w:rsidTr="0018000A">
        <w:trPr>
          <w:gridAfter w:val="1"/>
          <w:wAfter w:w="17" w:type="dxa"/>
          <w:trHeight w:val="664"/>
        </w:trPr>
        <w:tc>
          <w:tcPr>
            <w:tcW w:w="1324" w:type="dxa"/>
            <w:tcBorders>
              <w:top w:val="single" w:sz="4" w:space="0" w:color="auto"/>
              <w:left w:val="single" w:sz="4" w:space="0" w:color="auto"/>
              <w:bottom w:val="single" w:sz="4" w:space="0" w:color="auto"/>
              <w:right w:val="single" w:sz="4" w:space="0" w:color="auto"/>
            </w:tcBorders>
            <w:shd w:val="clear" w:color="auto" w:fill="auto"/>
            <w:noWrap/>
            <w:hideMark/>
          </w:tcPr>
          <w:p w14:paraId="76E8E16F"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Year</w:t>
            </w:r>
          </w:p>
        </w:tc>
        <w:tc>
          <w:tcPr>
            <w:tcW w:w="2083" w:type="dxa"/>
            <w:tcBorders>
              <w:top w:val="single" w:sz="4" w:space="0" w:color="auto"/>
              <w:left w:val="nil"/>
              <w:bottom w:val="single" w:sz="4" w:space="0" w:color="auto"/>
              <w:right w:val="single" w:sz="4" w:space="0" w:color="auto"/>
            </w:tcBorders>
            <w:shd w:val="clear" w:color="auto" w:fill="auto"/>
            <w:hideMark/>
          </w:tcPr>
          <w:p w14:paraId="5F1D46CC"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Discount Rate 10%</w:t>
            </w:r>
          </w:p>
        </w:tc>
        <w:tc>
          <w:tcPr>
            <w:tcW w:w="4038"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131FA79"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 </w:t>
            </w:r>
          </w:p>
        </w:tc>
      </w:tr>
      <w:tr w:rsidR="0018000A" w:rsidRPr="000B2A90" w14:paraId="6CBAB96A"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628D9837"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1</w:t>
            </w:r>
          </w:p>
        </w:tc>
        <w:tc>
          <w:tcPr>
            <w:tcW w:w="2083" w:type="dxa"/>
            <w:tcBorders>
              <w:top w:val="nil"/>
              <w:left w:val="nil"/>
              <w:bottom w:val="single" w:sz="4" w:space="0" w:color="auto"/>
              <w:right w:val="single" w:sz="4" w:space="0" w:color="auto"/>
            </w:tcBorders>
            <w:shd w:val="clear" w:color="auto" w:fill="auto"/>
            <w:noWrap/>
            <w:vAlign w:val="bottom"/>
            <w:hideMark/>
          </w:tcPr>
          <w:p w14:paraId="6D1558F5"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0.9091</w:t>
            </w:r>
          </w:p>
        </w:tc>
        <w:tc>
          <w:tcPr>
            <w:tcW w:w="4038" w:type="dxa"/>
            <w:vMerge/>
            <w:tcBorders>
              <w:top w:val="nil"/>
              <w:left w:val="nil"/>
              <w:bottom w:val="single" w:sz="4" w:space="0" w:color="auto"/>
              <w:right w:val="single" w:sz="4" w:space="0" w:color="auto"/>
            </w:tcBorders>
            <w:vAlign w:val="center"/>
            <w:hideMark/>
          </w:tcPr>
          <w:p w14:paraId="6702AD2E" w14:textId="77777777" w:rsidR="000B2A90" w:rsidRPr="000B2A90" w:rsidRDefault="000B2A90" w:rsidP="000B2A90">
            <w:pPr>
              <w:rPr>
                <w:rFonts w:ascii="Calibri" w:eastAsia="Times New Roman" w:hAnsi="Calibri"/>
                <w:color w:val="000000"/>
              </w:rPr>
            </w:pPr>
          </w:p>
        </w:tc>
      </w:tr>
      <w:tr w:rsidR="0018000A" w:rsidRPr="000B2A90" w14:paraId="784CDA86"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52681370"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2</w:t>
            </w:r>
          </w:p>
        </w:tc>
        <w:tc>
          <w:tcPr>
            <w:tcW w:w="2083" w:type="dxa"/>
            <w:tcBorders>
              <w:top w:val="nil"/>
              <w:left w:val="nil"/>
              <w:bottom w:val="single" w:sz="4" w:space="0" w:color="auto"/>
              <w:right w:val="single" w:sz="4" w:space="0" w:color="auto"/>
            </w:tcBorders>
            <w:shd w:val="clear" w:color="auto" w:fill="auto"/>
            <w:noWrap/>
            <w:vAlign w:val="bottom"/>
            <w:hideMark/>
          </w:tcPr>
          <w:p w14:paraId="7DBE9A4F"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0.8264</w:t>
            </w:r>
          </w:p>
        </w:tc>
        <w:tc>
          <w:tcPr>
            <w:tcW w:w="4038" w:type="dxa"/>
            <w:vMerge/>
            <w:tcBorders>
              <w:top w:val="nil"/>
              <w:left w:val="nil"/>
              <w:bottom w:val="single" w:sz="4" w:space="0" w:color="auto"/>
              <w:right w:val="single" w:sz="4" w:space="0" w:color="auto"/>
            </w:tcBorders>
            <w:vAlign w:val="center"/>
            <w:hideMark/>
          </w:tcPr>
          <w:p w14:paraId="1432B4C0" w14:textId="77777777" w:rsidR="000B2A90" w:rsidRPr="000B2A90" w:rsidRDefault="000B2A90" w:rsidP="000B2A90">
            <w:pPr>
              <w:rPr>
                <w:rFonts w:ascii="Calibri" w:eastAsia="Times New Roman" w:hAnsi="Calibri"/>
                <w:color w:val="000000"/>
              </w:rPr>
            </w:pPr>
          </w:p>
        </w:tc>
      </w:tr>
      <w:tr w:rsidR="0018000A" w:rsidRPr="000B2A90" w14:paraId="6645CB8B"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37685066"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3</w:t>
            </w:r>
          </w:p>
        </w:tc>
        <w:tc>
          <w:tcPr>
            <w:tcW w:w="2083" w:type="dxa"/>
            <w:tcBorders>
              <w:top w:val="nil"/>
              <w:left w:val="nil"/>
              <w:bottom w:val="single" w:sz="4" w:space="0" w:color="auto"/>
              <w:right w:val="single" w:sz="4" w:space="0" w:color="auto"/>
            </w:tcBorders>
            <w:shd w:val="clear" w:color="auto" w:fill="auto"/>
            <w:noWrap/>
            <w:vAlign w:val="bottom"/>
            <w:hideMark/>
          </w:tcPr>
          <w:p w14:paraId="37E12D80"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0.7513</w:t>
            </w:r>
          </w:p>
        </w:tc>
        <w:tc>
          <w:tcPr>
            <w:tcW w:w="4038" w:type="dxa"/>
            <w:vMerge/>
            <w:tcBorders>
              <w:top w:val="nil"/>
              <w:left w:val="nil"/>
              <w:bottom w:val="single" w:sz="4" w:space="0" w:color="auto"/>
              <w:right w:val="single" w:sz="4" w:space="0" w:color="auto"/>
            </w:tcBorders>
            <w:vAlign w:val="center"/>
            <w:hideMark/>
          </w:tcPr>
          <w:p w14:paraId="549B562C" w14:textId="77777777" w:rsidR="000B2A90" w:rsidRPr="000B2A90" w:rsidRDefault="000B2A90" w:rsidP="000B2A90">
            <w:pPr>
              <w:rPr>
                <w:rFonts w:ascii="Calibri" w:eastAsia="Times New Roman" w:hAnsi="Calibri"/>
                <w:color w:val="000000"/>
              </w:rPr>
            </w:pPr>
          </w:p>
        </w:tc>
      </w:tr>
      <w:tr w:rsidR="0018000A" w:rsidRPr="000B2A90" w14:paraId="694E057C"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1E9E937A"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4</w:t>
            </w:r>
          </w:p>
        </w:tc>
        <w:tc>
          <w:tcPr>
            <w:tcW w:w="2083" w:type="dxa"/>
            <w:tcBorders>
              <w:top w:val="nil"/>
              <w:left w:val="nil"/>
              <w:bottom w:val="single" w:sz="4" w:space="0" w:color="auto"/>
              <w:right w:val="single" w:sz="4" w:space="0" w:color="auto"/>
            </w:tcBorders>
            <w:shd w:val="clear" w:color="auto" w:fill="auto"/>
            <w:noWrap/>
            <w:vAlign w:val="bottom"/>
            <w:hideMark/>
          </w:tcPr>
          <w:p w14:paraId="448C6C16"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0.683</w:t>
            </w:r>
          </w:p>
        </w:tc>
        <w:tc>
          <w:tcPr>
            <w:tcW w:w="4038" w:type="dxa"/>
            <w:vMerge/>
            <w:tcBorders>
              <w:top w:val="nil"/>
              <w:left w:val="nil"/>
              <w:bottom w:val="single" w:sz="4" w:space="0" w:color="auto"/>
              <w:right w:val="single" w:sz="4" w:space="0" w:color="auto"/>
            </w:tcBorders>
            <w:vAlign w:val="center"/>
            <w:hideMark/>
          </w:tcPr>
          <w:p w14:paraId="5A1B6DBE" w14:textId="77777777" w:rsidR="000B2A90" w:rsidRPr="000B2A90" w:rsidRDefault="000B2A90" w:rsidP="000B2A90">
            <w:pPr>
              <w:rPr>
                <w:rFonts w:ascii="Calibri" w:eastAsia="Times New Roman" w:hAnsi="Calibri"/>
                <w:color w:val="000000"/>
              </w:rPr>
            </w:pPr>
          </w:p>
        </w:tc>
      </w:tr>
      <w:tr w:rsidR="0018000A" w:rsidRPr="000B2A90" w14:paraId="6FDA6130"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713562BA"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5</w:t>
            </w:r>
          </w:p>
        </w:tc>
        <w:tc>
          <w:tcPr>
            <w:tcW w:w="2083" w:type="dxa"/>
            <w:tcBorders>
              <w:top w:val="nil"/>
              <w:left w:val="nil"/>
              <w:bottom w:val="single" w:sz="4" w:space="0" w:color="auto"/>
              <w:right w:val="single" w:sz="4" w:space="0" w:color="auto"/>
            </w:tcBorders>
            <w:shd w:val="clear" w:color="auto" w:fill="auto"/>
            <w:noWrap/>
            <w:vAlign w:val="bottom"/>
            <w:hideMark/>
          </w:tcPr>
          <w:p w14:paraId="28195D00"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0.6209</w:t>
            </w:r>
          </w:p>
        </w:tc>
        <w:tc>
          <w:tcPr>
            <w:tcW w:w="4038" w:type="dxa"/>
            <w:vMerge/>
            <w:tcBorders>
              <w:top w:val="nil"/>
              <w:left w:val="nil"/>
              <w:bottom w:val="single" w:sz="4" w:space="0" w:color="auto"/>
              <w:right w:val="single" w:sz="4" w:space="0" w:color="auto"/>
            </w:tcBorders>
            <w:vAlign w:val="center"/>
            <w:hideMark/>
          </w:tcPr>
          <w:p w14:paraId="7011A456" w14:textId="77777777" w:rsidR="000B2A90" w:rsidRPr="000B2A90" w:rsidRDefault="000B2A90" w:rsidP="000B2A90">
            <w:pPr>
              <w:rPr>
                <w:rFonts w:ascii="Calibri" w:eastAsia="Times New Roman" w:hAnsi="Calibri"/>
                <w:color w:val="000000"/>
              </w:rPr>
            </w:pPr>
          </w:p>
        </w:tc>
      </w:tr>
      <w:tr w:rsidR="0018000A" w:rsidRPr="000B2A90" w14:paraId="7343DE78"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27CF68A6"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6</w:t>
            </w:r>
          </w:p>
        </w:tc>
        <w:tc>
          <w:tcPr>
            <w:tcW w:w="2083" w:type="dxa"/>
            <w:tcBorders>
              <w:top w:val="nil"/>
              <w:left w:val="nil"/>
              <w:bottom w:val="single" w:sz="4" w:space="0" w:color="auto"/>
              <w:right w:val="single" w:sz="4" w:space="0" w:color="auto"/>
            </w:tcBorders>
            <w:shd w:val="clear" w:color="auto" w:fill="auto"/>
            <w:noWrap/>
            <w:vAlign w:val="bottom"/>
            <w:hideMark/>
          </w:tcPr>
          <w:p w14:paraId="5AEE65AB"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0.5645</w:t>
            </w:r>
          </w:p>
        </w:tc>
        <w:tc>
          <w:tcPr>
            <w:tcW w:w="4038" w:type="dxa"/>
            <w:vMerge/>
            <w:tcBorders>
              <w:top w:val="nil"/>
              <w:left w:val="nil"/>
              <w:bottom w:val="single" w:sz="4" w:space="0" w:color="auto"/>
              <w:right w:val="single" w:sz="4" w:space="0" w:color="auto"/>
            </w:tcBorders>
            <w:vAlign w:val="center"/>
            <w:hideMark/>
          </w:tcPr>
          <w:p w14:paraId="06BF4843" w14:textId="77777777" w:rsidR="000B2A90" w:rsidRPr="000B2A90" w:rsidRDefault="000B2A90" w:rsidP="000B2A90">
            <w:pPr>
              <w:rPr>
                <w:rFonts w:ascii="Calibri" w:eastAsia="Times New Roman" w:hAnsi="Calibri"/>
                <w:color w:val="000000"/>
              </w:rPr>
            </w:pPr>
          </w:p>
        </w:tc>
      </w:tr>
      <w:tr w:rsidR="0018000A" w:rsidRPr="000B2A90" w14:paraId="3D47932A"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0DBAA146"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7</w:t>
            </w:r>
          </w:p>
        </w:tc>
        <w:tc>
          <w:tcPr>
            <w:tcW w:w="2083" w:type="dxa"/>
            <w:tcBorders>
              <w:top w:val="nil"/>
              <w:left w:val="nil"/>
              <w:bottom w:val="single" w:sz="4" w:space="0" w:color="auto"/>
              <w:right w:val="single" w:sz="4" w:space="0" w:color="auto"/>
            </w:tcBorders>
            <w:shd w:val="clear" w:color="auto" w:fill="auto"/>
            <w:noWrap/>
            <w:vAlign w:val="bottom"/>
            <w:hideMark/>
          </w:tcPr>
          <w:p w14:paraId="4BC9C1B0"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0.5132</w:t>
            </w:r>
          </w:p>
        </w:tc>
        <w:tc>
          <w:tcPr>
            <w:tcW w:w="4038" w:type="dxa"/>
            <w:vMerge/>
            <w:tcBorders>
              <w:top w:val="nil"/>
              <w:left w:val="nil"/>
              <w:bottom w:val="single" w:sz="4" w:space="0" w:color="auto"/>
              <w:right w:val="single" w:sz="4" w:space="0" w:color="auto"/>
            </w:tcBorders>
            <w:vAlign w:val="center"/>
            <w:hideMark/>
          </w:tcPr>
          <w:p w14:paraId="16184CD0" w14:textId="77777777" w:rsidR="000B2A90" w:rsidRPr="000B2A90" w:rsidRDefault="000B2A90" w:rsidP="000B2A90">
            <w:pPr>
              <w:rPr>
                <w:rFonts w:ascii="Calibri" w:eastAsia="Times New Roman" w:hAnsi="Calibri"/>
                <w:color w:val="000000"/>
              </w:rPr>
            </w:pPr>
          </w:p>
        </w:tc>
      </w:tr>
      <w:tr w:rsidR="0018000A" w:rsidRPr="000B2A90" w14:paraId="16C28CA0"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7DE596A9"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8</w:t>
            </w:r>
          </w:p>
        </w:tc>
        <w:tc>
          <w:tcPr>
            <w:tcW w:w="2083" w:type="dxa"/>
            <w:tcBorders>
              <w:top w:val="nil"/>
              <w:left w:val="nil"/>
              <w:bottom w:val="single" w:sz="4" w:space="0" w:color="auto"/>
              <w:right w:val="single" w:sz="4" w:space="0" w:color="auto"/>
            </w:tcBorders>
            <w:shd w:val="clear" w:color="auto" w:fill="auto"/>
            <w:noWrap/>
            <w:vAlign w:val="bottom"/>
            <w:hideMark/>
          </w:tcPr>
          <w:p w14:paraId="6BD1BA84"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0.4665</w:t>
            </w:r>
          </w:p>
        </w:tc>
        <w:tc>
          <w:tcPr>
            <w:tcW w:w="4038" w:type="dxa"/>
            <w:vMerge/>
            <w:tcBorders>
              <w:top w:val="nil"/>
              <w:left w:val="nil"/>
              <w:bottom w:val="single" w:sz="4" w:space="0" w:color="auto"/>
              <w:right w:val="single" w:sz="4" w:space="0" w:color="auto"/>
            </w:tcBorders>
            <w:vAlign w:val="center"/>
            <w:hideMark/>
          </w:tcPr>
          <w:p w14:paraId="67ED5429" w14:textId="77777777" w:rsidR="000B2A90" w:rsidRPr="000B2A90" w:rsidRDefault="000B2A90" w:rsidP="000B2A90">
            <w:pPr>
              <w:rPr>
                <w:rFonts w:ascii="Calibri" w:eastAsia="Times New Roman" w:hAnsi="Calibri"/>
                <w:color w:val="000000"/>
              </w:rPr>
            </w:pPr>
          </w:p>
        </w:tc>
      </w:tr>
      <w:tr w:rsidR="0018000A" w:rsidRPr="000B2A90" w14:paraId="3829BAE4"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4099A6E6"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9</w:t>
            </w:r>
          </w:p>
        </w:tc>
        <w:tc>
          <w:tcPr>
            <w:tcW w:w="2083" w:type="dxa"/>
            <w:tcBorders>
              <w:top w:val="nil"/>
              <w:left w:val="nil"/>
              <w:bottom w:val="single" w:sz="4" w:space="0" w:color="auto"/>
              <w:right w:val="single" w:sz="4" w:space="0" w:color="auto"/>
            </w:tcBorders>
            <w:shd w:val="clear" w:color="auto" w:fill="auto"/>
            <w:noWrap/>
            <w:vAlign w:val="bottom"/>
            <w:hideMark/>
          </w:tcPr>
          <w:p w14:paraId="61A4980D"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0.4241</w:t>
            </w:r>
          </w:p>
        </w:tc>
        <w:tc>
          <w:tcPr>
            <w:tcW w:w="4038" w:type="dxa"/>
            <w:vMerge/>
            <w:tcBorders>
              <w:top w:val="nil"/>
              <w:left w:val="nil"/>
              <w:bottom w:val="single" w:sz="4" w:space="0" w:color="auto"/>
              <w:right w:val="single" w:sz="4" w:space="0" w:color="auto"/>
            </w:tcBorders>
            <w:vAlign w:val="center"/>
            <w:hideMark/>
          </w:tcPr>
          <w:p w14:paraId="026A040B" w14:textId="77777777" w:rsidR="000B2A90" w:rsidRPr="000B2A90" w:rsidRDefault="000B2A90" w:rsidP="000B2A90">
            <w:pPr>
              <w:rPr>
                <w:rFonts w:ascii="Calibri" w:eastAsia="Times New Roman" w:hAnsi="Calibri"/>
                <w:color w:val="000000"/>
              </w:rPr>
            </w:pPr>
          </w:p>
        </w:tc>
      </w:tr>
      <w:tr w:rsidR="0018000A" w:rsidRPr="000B2A90" w14:paraId="62611667"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33F38CB5"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10</w:t>
            </w:r>
          </w:p>
        </w:tc>
        <w:tc>
          <w:tcPr>
            <w:tcW w:w="2083" w:type="dxa"/>
            <w:tcBorders>
              <w:top w:val="nil"/>
              <w:left w:val="nil"/>
              <w:bottom w:val="single" w:sz="4" w:space="0" w:color="auto"/>
              <w:right w:val="single" w:sz="4" w:space="0" w:color="auto"/>
            </w:tcBorders>
            <w:shd w:val="clear" w:color="auto" w:fill="auto"/>
            <w:noWrap/>
            <w:vAlign w:val="bottom"/>
            <w:hideMark/>
          </w:tcPr>
          <w:p w14:paraId="2169B800"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0.3855</w:t>
            </w:r>
          </w:p>
        </w:tc>
        <w:tc>
          <w:tcPr>
            <w:tcW w:w="4038" w:type="dxa"/>
            <w:vMerge/>
            <w:tcBorders>
              <w:top w:val="nil"/>
              <w:left w:val="nil"/>
              <w:bottom w:val="single" w:sz="4" w:space="0" w:color="auto"/>
              <w:right w:val="single" w:sz="4" w:space="0" w:color="auto"/>
            </w:tcBorders>
            <w:vAlign w:val="center"/>
            <w:hideMark/>
          </w:tcPr>
          <w:p w14:paraId="6FC48CF9" w14:textId="77777777" w:rsidR="000B2A90" w:rsidRPr="000B2A90" w:rsidRDefault="000B2A90" w:rsidP="000B2A90">
            <w:pPr>
              <w:rPr>
                <w:rFonts w:ascii="Calibri" w:eastAsia="Times New Roman" w:hAnsi="Calibri"/>
                <w:color w:val="000000"/>
              </w:rPr>
            </w:pPr>
          </w:p>
        </w:tc>
      </w:tr>
      <w:tr w:rsidR="0018000A" w:rsidRPr="000B2A90" w14:paraId="2240877D"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41A567A0"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2083" w:type="dxa"/>
            <w:tcBorders>
              <w:top w:val="nil"/>
              <w:left w:val="nil"/>
              <w:bottom w:val="single" w:sz="4" w:space="0" w:color="auto"/>
              <w:right w:val="single" w:sz="4" w:space="0" w:color="auto"/>
            </w:tcBorders>
            <w:shd w:val="clear" w:color="auto" w:fill="auto"/>
            <w:noWrap/>
            <w:vAlign w:val="bottom"/>
            <w:hideMark/>
          </w:tcPr>
          <w:p w14:paraId="018548C9"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4038" w:type="dxa"/>
            <w:vMerge/>
            <w:tcBorders>
              <w:top w:val="nil"/>
              <w:left w:val="nil"/>
              <w:bottom w:val="single" w:sz="4" w:space="0" w:color="auto"/>
              <w:right w:val="single" w:sz="4" w:space="0" w:color="auto"/>
            </w:tcBorders>
            <w:vAlign w:val="center"/>
            <w:hideMark/>
          </w:tcPr>
          <w:p w14:paraId="7145EA75" w14:textId="77777777" w:rsidR="000B2A90" w:rsidRPr="000B2A90" w:rsidRDefault="000B2A90" w:rsidP="000B2A90">
            <w:pPr>
              <w:rPr>
                <w:rFonts w:ascii="Calibri" w:eastAsia="Times New Roman" w:hAnsi="Calibri"/>
                <w:color w:val="000000"/>
              </w:rPr>
            </w:pPr>
          </w:p>
        </w:tc>
      </w:tr>
      <w:tr w:rsidR="0018000A" w:rsidRPr="000B2A90" w14:paraId="05869395" w14:textId="77777777" w:rsidTr="0018000A">
        <w:trPr>
          <w:gridAfter w:val="1"/>
          <w:wAfter w:w="17" w:type="dxa"/>
          <w:trHeight w:val="268"/>
        </w:trPr>
        <w:tc>
          <w:tcPr>
            <w:tcW w:w="34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A8487" w14:textId="77777777" w:rsidR="000B2A90" w:rsidRPr="000B2A90" w:rsidRDefault="000B2A90" w:rsidP="000B2A90">
            <w:pPr>
              <w:jc w:val="center"/>
              <w:rPr>
                <w:rFonts w:ascii="Calibri" w:eastAsia="Times New Roman" w:hAnsi="Calibri"/>
                <w:color w:val="000000"/>
              </w:rPr>
            </w:pPr>
            <w:r w:rsidRPr="000B2A90">
              <w:rPr>
                <w:rFonts w:ascii="Calibri" w:eastAsia="Times New Roman" w:hAnsi="Calibri"/>
                <w:color w:val="000000"/>
              </w:rPr>
              <w:t> </w:t>
            </w:r>
          </w:p>
        </w:tc>
        <w:tc>
          <w:tcPr>
            <w:tcW w:w="4038" w:type="dxa"/>
            <w:vMerge/>
            <w:tcBorders>
              <w:top w:val="nil"/>
              <w:left w:val="nil"/>
              <w:bottom w:val="single" w:sz="4" w:space="0" w:color="auto"/>
              <w:right w:val="single" w:sz="4" w:space="0" w:color="auto"/>
            </w:tcBorders>
            <w:vAlign w:val="center"/>
            <w:hideMark/>
          </w:tcPr>
          <w:p w14:paraId="62DAF8C5" w14:textId="77777777" w:rsidR="000B2A90" w:rsidRPr="000B2A90" w:rsidRDefault="000B2A90" w:rsidP="000B2A90">
            <w:pPr>
              <w:rPr>
                <w:rFonts w:ascii="Calibri" w:eastAsia="Times New Roman" w:hAnsi="Calibri"/>
                <w:color w:val="000000"/>
              </w:rPr>
            </w:pPr>
          </w:p>
        </w:tc>
      </w:tr>
      <w:tr w:rsidR="0018000A" w:rsidRPr="000B2A90" w14:paraId="5A62F558"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16D871D4"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Total</w:t>
            </w:r>
          </w:p>
        </w:tc>
        <w:tc>
          <w:tcPr>
            <w:tcW w:w="2083" w:type="dxa"/>
            <w:tcBorders>
              <w:top w:val="nil"/>
              <w:left w:val="nil"/>
              <w:bottom w:val="single" w:sz="4" w:space="0" w:color="auto"/>
              <w:right w:val="single" w:sz="4" w:space="0" w:color="auto"/>
            </w:tcBorders>
            <w:shd w:val="clear" w:color="auto" w:fill="auto"/>
            <w:noWrap/>
            <w:vAlign w:val="bottom"/>
            <w:hideMark/>
          </w:tcPr>
          <w:p w14:paraId="08939C6C" w14:textId="77777777" w:rsidR="000B2A90" w:rsidRPr="000B2A90" w:rsidRDefault="000B2A90" w:rsidP="000B2A90">
            <w:pPr>
              <w:jc w:val="right"/>
              <w:rPr>
                <w:rFonts w:ascii="Calibri" w:eastAsia="Times New Roman" w:hAnsi="Calibri"/>
                <w:color w:val="000000"/>
              </w:rPr>
            </w:pPr>
            <w:r w:rsidRPr="000B2A90">
              <w:rPr>
                <w:rFonts w:ascii="Calibri" w:eastAsia="Times New Roman" w:hAnsi="Calibri"/>
                <w:color w:val="000000"/>
              </w:rPr>
              <w:t>6.1446</w:t>
            </w:r>
          </w:p>
        </w:tc>
        <w:tc>
          <w:tcPr>
            <w:tcW w:w="4038" w:type="dxa"/>
            <w:vMerge/>
            <w:tcBorders>
              <w:top w:val="nil"/>
              <w:left w:val="nil"/>
              <w:bottom w:val="single" w:sz="4" w:space="0" w:color="auto"/>
              <w:right w:val="single" w:sz="4" w:space="0" w:color="auto"/>
            </w:tcBorders>
            <w:vAlign w:val="center"/>
            <w:hideMark/>
          </w:tcPr>
          <w:p w14:paraId="21E49CE0" w14:textId="77777777" w:rsidR="000B2A90" w:rsidRPr="000B2A90" w:rsidRDefault="000B2A90" w:rsidP="000B2A90">
            <w:pPr>
              <w:rPr>
                <w:rFonts w:ascii="Calibri" w:eastAsia="Times New Roman" w:hAnsi="Calibri"/>
                <w:color w:val="000000"/>
              </w:rPr>
            </w:pPr>
          </w:p>
        </w:tc>
      </w:tr>
      <w:tr w:rsidR="0018000A" w:rsidRPr="000B2A90" w14:paraId="3FF520D0"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216B251C"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2083" w:type="dxa"/>
            <w:tcBorders>
              <w:top w:val="nil"/>
              <w:left w:val="nil"/>
              <w:bottom w:val="single" w:sz="4" w:space="0" w:color="auto"/>
              <w:right w:val="single" w:sz="4" w:space="0" w:color="auto"/>
            </w:tcBorders>
            <w:shd w:val="clear" w:color="auto" w:fill="auto"/>
            <w:noWrap/>
            <w:vAlign w:val="bottom"/>
            <w:hideMark/>
          </w:tcPr>
          <w:p w14:paraId="267B6B7B"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4038" w:type="dxa"/>
            <w:vMerge/>
            <w:tcBorders>
              <w:top w:val="nil"/>
              <w:left w:val="nil"/>
              <w:bottom w:val="single" w:sz="4" w:space="0" w:color="auto"/>
              <w:right w:val="single" w:sz="4" w:space="0" w:color="auto"/>
            </w:tcBorders>
            <w:vAlign w:val="center"/>
            <w:hideMark/>
          </w:tcPr>
          <w:p w14:paraId="67D70C06" w14:textId="77777777" w:rsidR="000B2A90" w:rsidRPr="000B2A90" w:rsidRDefault="000B2A90" w:rsidP="000B2A90">
            <w:pPr>
              <w:rPr>
                <w:rFonts w:ascii="Calibri" w:eastAsia="Times New Roman" w:hAnsi="Calibri"/>
                <w:color w:val="000000"/>
              </w:rPr>
            </w:pPr>
          </w:p>
        </w:tc>
      </w:tr>
      <w:tr w:rsidR="0018000A" w:rsidRPr="000B2A90" w14:paraId="190C0966"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39F8B536"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2083" w:type="dxa"/>
            <w:tcBorders>
              <w:top w:val="nil"/>
              <w:left w:val="nil"/>
              <w:bottom w:val="single" w:sz="4" w:space="0" w:color="auto"/>
              <w:right w:val="single" w:sz="4" w:space="0" w:color="auto"/>
            </w:tcBorders>
            <w:shd w:val="clear" w:color="auto" w:fill="auto"/>
            <w:noWrap/>
            <w:vAlign w:val="bottom"/>
            <w:hideMark/>
          </w:tcPr>
          <w:p w14:paraId="154CB6CE"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4038" w:type="dxa"/>
            <w:vMerge/>
            <w:tcBorders>
              <w:top w:val="nil"/>
              <w:left w:val="nil"/>
              <w:bottom w:val="single" w:sz="4" w:space="0" w:color="auto"/>
              <w:right w:val="single" w:sz="4" w:space="0" w:color="auto"/>
            </w:tcBorders>
            <w:vAlign w:val="center"/>
            <w:hideMark/>
          </w:tcPr>
          <w:p w14:paraId="3B0DBCAD" w14:textId="77777777" w:rsidR="000B2A90" w:rsidRPr="000B2A90" w:rsidRDefault="000B2A90" w:rsidP="000B2A90">
            <w:pPr>
              <w:rPr>
                <w:rFonts w:ascii="Calibri" w:eastAsia="Times New Roman" w:hAnsi="Calibri"/>
                <w:color w:val="000000"/>
              </w:rPr>
            </w:pPr>
          </w:p>
        </w:tc>
      </w:tr>
      <w:tr w:rsidR="0018000A" w:rsidRPr="000B2A90" w14:paraId="66CEEE80"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7DD14BA4"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xml:space="preserve">Investment </w:t>
            </w:r>
          </w:p>
        </w:tc>
        <w:tc>
          <w:tcPr>
            <w:tcW w:w="2083" w:type="dxa"/>
            <w:tcBorders>
              <w:top w:val="nil"/>
              <w:left w:val="nil"/>
              <w:bottom w:val="single" w:sz="4" w:space="0" w:color="auto"/>
              <w:right w:val="single" w:sz="4" w:space="0" w:color="auto"/>
            </w:tcBorders>
            <w:shd w:val="clear" w:color="auto" w:fill="auto"/>
            <w:noWrap/>
            <w:vAlign w:val="bottom"/>
            <w:hideMark/>
          </w:tcPr>
          <w:p w14:paraId="614FDE9E" w14:textId="38177D37" w:rsidR="000B2A90" w:rsidRPr="000B2A90" w:rsidRDefault="008C200D" w:rsidP="000B2A90">
            <w:pPr>
              <w:jc w:val="right"/>
              <w:rPr>
                <w:rFonts w:ascii="Calibri" w:eastAsia="Times New Roman" w:hAnsi="Calibri"/>
                <w:color w:val="000000"/>
              </w:rPr>
            </w:pPr>
            <w:r>
              <w:rPr>
                <w:rFonts w:ascii="Calibri" w:eastAsia="Times New Roman" w:hAnsi="Calibri"/>
                <w:color w:val="000000"/>
              </w:rPr>
              <w:t>2120000</w:t>
            </w:r>
          </w:p>
        </w:tc>
        <w:tc>
          <w:tcPr>
            <w:tcW w:w="4038" w:type="dxa"/>
            <w:vMerge/>
            <w:tcBorders>
              <w:top w:val="nil"/>
              <w:left w:val="nil"/>
              <w:bottom w:val="single" w:sz="4" w:space="0" w:color="auto"/>
              <w:right w:val="single" w:sz="4" w:space="0" w:color="auto"/>
            </w:tcBorders>
            <w:vAlign w:val="center"/>
            <w:hideMark/>
          </w:tcPr>
          <w:p w14:paraId="501C3FF8" w14:textId="77777777" w:rsidR="000B2A90" w:rsidRPr="000B2A90" w:rsidRDefault="000B2A90" w:rsidP="000B2A90">
            <w:pPr>
              <w:rPr>
                <w:rFonts w:ascii="Calibri" w:eastAsia="Times New Roman" w:hAnsi="Calibri"/>
                <w:color w:val="000000"/>
              </w:rPr>
            </w:pPr>
          </w:p>
        </w:tc>
      </w:tr>
      <w:tr w:rsidR="0018000A" w:rsidRPr="000B2A90" w14:paraId="28FDF917"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2BA08370"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2083" w:type="dxa"/>
            <w:tcBorders>
              <w:top w:val="nil"/>
              <w:left w:val="nil"/>
              <w:bottom w:val="single" w:sz="4" w:space="0" w:color="auto"/>
              <w:right w:val="single" w:sz="4" w:space="0" w:color="auto"/>
            </w:tcBorders>
            <w:shd w:val="clear" w:color="auto" w:fill="auto"/>
            <w:noWrap/>
            <w:vAlign w:val="bottom"/>
            <w:hideMark/>
          </w:tcPr>
          <w:p w14:paraId="47DF187C"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4038" w:type="dxa"/>
            <w:vMerge/>
            <w:tcBorders>
              <w:top w:val="nil"/>
              <w:left w:val="nil"/>
              <w:bottom w:val="single" w:sz="4" w:space="0" w:color="auto"/>
              <w:right w:val="single" w:sz="4" w:space="0" w:color="auto"/>
            </w:tcBorders>
            <w:vAlign w:val="center"/>
            <w:hideMark/>
          </w:tcPr>
          <w:p w14:paraId="54BB1ABF" w14:textId="77777777" w:rsidR="000B2A90" w:rsidRPr="000B2A90" w:rsidRDefault="000B2A90" w:rsidP="000B2A90">
            <w:pPr>
              <w:rPr>
                <w:rFonts w:ascii="Calibri" w:eastAsia="Times New Roman" w:hAnsi="Calibri"/>
                <w:color w:val="000000"/>
              </w:rPr>
            </w:pPr>
          </w:p>
        </w:tc>
      </w:tr>
      <w:tr w:rsidR="0018000A" w:rsidRPr="000B2A90" w14:paraId="7FC1524F"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3249A9D1"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2083" w:type="dxa"/>
            <w:tcBorders>
              <w:top w:val="nil"/>
              <w:left w:val="nil"/>
              <w:bottom w:val="single" w:sz="4" w:space="0" w:color="auto"/>
              <w:right w:val="single" w:sz="4" w:space="0" w:color="auto"/>
            </w:tcBorders>
            <w:shd w:val="clear" w:color="auto" w:fill="auto"/>
            <w:noWrap/>
            <w:vAlign w:val="bottom"/>
            <w:hideMark/>
          </w:tcPr>
          <w:p w14:paraId="4F04952F"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4038" w:type="dxa"/>
            <w:vMerge/>
            <w:tcBorders>
              <w:top w:val="nil"/>
              <w:left w:val="nil"/>
              <w:bottom w:val="single" w:sz="4" w:space="0" w:color="auto"/>
              <w:right w:val="single" w:sz="4" w:space="0" w:color="auto"/>
            </w:tcBorders>
            <w:vAlign w:val="center"/>
            <w:hideMark/>
          </w:tcPr>
          <w:p w14:paraId="7DDC193E" w14:textId="77777777" w:rsidR="000B2A90" w:rsidRPr="000B2A90" w:rsidRDefault="000B2A90" w:rsidP="000B2A90">
            <w:pPr>
              <w:rPr>
                <w:rFonts w:ascii="Calibri" w:eastAsia="Times New Roman" w:hAnsi="Calibri"/>
                <w:color w:val="000000"/>
              </w:rPr>
            </w:pPr>
          </w:p>
        </w:tc>
      </w:tr>
      <w:tr w:rsidR="0018000A" w:rsidRPr="000B2A90" w14:paraId="4AC71E64" w14:textId="77777777" w:rsidTr="0018000A">
        <w:trPr>
          <w:gridAfter w:val="1"/>
          <w:wAfter w:w="17" w:type="dxa"/>
          <w:trHeight w:val="268"/>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367FAB64"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2083" w:type="dxa"/>
            <w:tcBorders>
              <w:top w:val="nil"/>
              <w:left w:val="nil"/>
              <w:bottom w:val="single" w:sz="4" w:space="0" w:color="auto"/>
              <w:right w:val="single" w:sz="4" w:space="0" w:color="auto"/>
            </w:tcBorders>
            <w:shd w:val="clear" w:color="auto" w:fill="auto"/>
            <w:noWrap/>
            <w:vAlign w:val="bottom"/>
            <w:hideMark/>
          </w:tcPr>
          <w:p w14:paraId="5ADEFD8F" w14:textId="77777777"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w:t>
            </w:r>
          </w:p>
        </w:tc>
        <w:tc>
          <w:tcPr>
            <w:tcW w:w="4038" w:type="dxa"/>
            <w:vMerge/>
            <w:tcBorders>
              <w:top w:val="nil"/>
              <w:left w:val="nil"/>
              <w:bottom w:val="single" w:sz="4" w:space="0" w:color="auto"/>
              <w:right w:val="single" w:sz="4" w:space="0" w:color="auto"/>
            </w:tcBorders>
            <w:vAlign w:val="center"/>
            <w:hideMark/>
          </w:tcPr>
          <w:p w14:paraId="37B235CF" w14:textId="77777777" w:rsidR="000B2A90" w:rsidRPr="000B2A90" w:rsidRDefault="000B2A90" w:rsidP="000B2A90">
            <w:pPr>
              <w:rPr>
                <w:rFonts w:ascii="Calibri" w:eastAsia="Times New Roman" w:hAnsi="Calibri"/>
                <w:color w:val="000000"/>
              </w:rPr>
            </w:pPr>
          </w:p>
        </w:tc>
      </w:tr>
      <w:tr w:rsidR="000B2A90" w:rsidRPr="000B2A90" w14:paraId="2E3CFD22" w14:textId="77777777" w:rsidTr="0018000A">
        <w:trPr>
          <w:trHeight w:val="268"/>
        </w:trPr>
        <w:tc>
          <w:tcPr>
            <w:tcW w:w="74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5B426" w14:textId="6B56E640" w:rsidR="000B2A90" w:rsidRPr="000B2A90" w:rsidRDefault="000B2A90" w:rsidP="000B2A90">
            <w:pPr>
              <w:rPr>
                <w:rFonts w:ascii="Calibri" w:eastAsia="Times New Roman" w:hAnsi="Calibri"/>
                <w:color w:val="000000"/>
              </w:rPr>
            </w:pPr>
            <w:r w:rsidRPr="000B2A90">
              <w:rPr>
                <w:rFonts w:ascii="Calibri" w:eastAsia="Times New Roman" w:hAnsi="Calibri"/>
                <w:color w:val="000000"/>
              </w:rPr>
              <w:t xml:space="preserve">Annual Cash Flow                                         </w:t>
            </w:r>
            <w:r w:rsidR="0018000A">
              <w:rPr>
                <w:rFonts w:ascii="Calibri" w:eastAsia="Times New Roman" w:hAnsi="Calibri"/>
                <w:color w:val="000000"/>
              </w:rPr>
              <w:t xml:space="preserve">                                          </w:t>
            </w:r>
            <w:r w:rsidRPr="000B2A90">
              <w:rPr>
                <w:rFonts w:ascii="Calibri" w:eastAsia="Times New Roman" w:hAnsi="Calibri"/>
                <w:color w:val="000000"/>
              </w:rPr>
              <w:t xml:space="preserve"> 345,020</w:t>
            </w:r>
          </w:p>
        </w:tc>
      </w:tr>
    </w:tbl>
    <w:p w14:paraId="74C7C755" w14:textId="77777777" w:rsidR="00C55E8E" w:rsidRDefault="00C55E8E" w:rsidP="00C55E8E">
      <w:pPr>
        <w:rPr>
          <w:b/>
        </w:rPr>
      </w:pPr>
    </w:p>
    <w:p w14:paraId="21A589B6" w14:textId="77777777" w:rsidR="0018000A" w:rsidRDefault="0018000A" w:rsidP="00C55E8E">
      <w:pPr>
        <w:rPr>
          <w:b/>
        </w:rPr>
      </w:pPr>
    </w:p>
    <w:p w14:paraId="66A0D5F8" w14:textId="77777777" w:rsidR="0018000A" w:rsidRDefault="0018000A" w:rsidP="00C55E8E">
      <w:pPr>
        <w:rPr>
          <w:b/>
        </w:rPr>
      </w:pPr>
    </w:p>
    <w:p w14:paraId="433D842E" w14:textId="77777777" w:rsidR="0018000A" w:rsidRDefault="0018000A" w:rsidP="00C55E8E">
      <w:pPr>
        <w:rPr>
          <w:b/>
        </w:rPr>
      </w:pPr>
    </w:p>
    <w:p w14:paraId="2A04A092" w14:textId="77777777" w:rsidR="0018000A" w:rsidRDefault="0018000A" w:rsidP="00C55E8E">
      <w:pPr>
        <w:rPr>
          <w:b/>
        </w:rPr>
      </w:pPr>
    </w:p>
    <w:p w14:paraId="0E90BBF0" w14:textId="77777777" w:rsidR="0018000A" w:rsidRDefault="0018000A" w:rsidP="00C55E8E">
      <w:pPr>
        <w:rPr>
          <w:b/>
        </w:rPr>
      </w:pPr>
    </w:p>
    <w:p w14:paraId="618690D2" w14:textId="77777777" w:rsidR="0018000A" w:rsidRDefault="0018000A" w:rsidP="00C55E8E">
      <w:pPr>
        <w:rPr>
          <w:b/>
        </w:rPr>
      </w:pPr>
    </w:p>
    <w:tbl>
      <w:tblPr>
        <w:tblW w:w="5200" w:type="dxa"/>
        <w:tblInd w:w="93" w:type="dxa"/>
        <w:tblLook w:val="04A0" w:firstRow="1" w:lastRow="0" w:firstColumn="1" w:lastColumn="0" w:noHBand="0" w:noVBand="1"/>
      </w:tblPr>
      <w:tblGrid>
        <w:gridCol w:w="1300"/>
        <w:gridCol w:w="1300"/>
        <w:gridCol w:w="1300"/>
        <w:gridCol w:w="1319"/>
      </w:tblGrid>
      <w:tr w:rsidR="0018000A" w:rsidRPr="0018000A" w14:paraId="71223B0E" w14:textId="77777777" w:rsidTr="0018000A">
        <w:trPr>
          <w:trHeight w:val="740"/>
        </w:trPr>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14:paraId="3060408A"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Year</w:t>
            </w:r>
          </w:p>
        </w:tc>
        <w:tc>
          <w:tcPr>
            <w:tcW w:w="1300" w:type="dxa"/>
            <w:tcBorders>
              <w:top w:val="single" w:sz="4" w:space="0" w:color="auto"/>
              <w:left w:val="nil"/>
              <w:bottom w:val="single" w:sz="4" w:space="0" w:color="auto"/>
              <w:right w:val="single" w:sz="4" w:space="0" w:color="auto"/>
            </w:tcBorders>
            <w:shd w:val="clear" w:color="auto" w:fill="auto"/>
            <w:hideMark/>
          </w:tcPr>
          <w:p w14:paraId="7798B037"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Discount Rate 10%</w:t>
            </w:r>
          </w:p>
        </w:tc>
        <w:tc>
          <w:tcPr>
            <w:tcW w:w="1300" w:type="dxa"/>
            <w:tcBorders>
              <w:top w:val="single" w:sz="4" w:space="0" w:color="auto"/>
              <w:left w:val="nil"/>
              <w:bottom w:val="single" w:sz="4" w:space="0" w:color="auto"/>
              <w:right w:val="single" w:sz="4" w:space="0" w:color="auto"/>
            </w:tcBorders>
            <w:shd w:val="clear" w:color="auto" w:fill="auto"/>
            <w:hideMark/>
          </w:tcPr>
          <w:p w14:paraId="37AD3620"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xml:space="preserve">Annual Cash Flow </w:t>
            </w:r>
          </w:p>
        </w:tc>
        <w:tc>
          <w:tcPr>
            <w:tcW w:w="1300" w:type="dxa"/>
            <w:tcBorders>
              <w:top w:val="single" w:sz="4" w:space="0" w:color="auto"/>
              <w:left w:val="nil"/>
              <w:bottom w:val="single" w:sz="4" w:space="0" w:color="auto"/>
              <w:right w:val="single" w:sz="4" w:space="0" w:color="auto"/>
            </w:tcBorders>
            <w:shd w:val="clear" w:color="auto" w:fill="auto"/>
            <w:hideMark/>
          </w:tcPr>
          <w:p w14:paraId="0B02451E"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xml:space="preserve">Discounted Cash Flow </w:t>
            </w:r>
          </w:p>
        </w:tc>
      </w:tr>
      <w:tr w:rsidR="0018000A" w:rsidRPr="0018000A" w14:paraId="0DC42279"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94079E7"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1</w:t>
            </w:r>
          </w:p>
        </w:tc>
        <w:tc>
          <w:tcPr>
            <w:tcW w:w="1300" w:type="dxa"/>
            <w:tcBorders>
              <w:top w:val="nil"/>
              <w:left w:val="nil"/>
              <w:bottom w:val="single" w:sz="4" w:space="0" w:color="auto"/>
              <w:right w:val="single" w:sz="4" w:space="0" w:color="auto"/>
            </w:tcBorders>
            <w:shd w:val="clear" w:color="auto" w:fill="auto"/>
            <w:noWrap/>
            <w:vAlign w:val="bottom"/>
            <w:hideMark/>
          </w:tcPr>
          <w:p w14:paraId="49916976"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0.9091</w:t>
            </w:r>
          </w:p>
        </w:tc>
        <w:tc>
          <w:tcPr>
            <w:tcW w:w="1300" w:type="dxa"/>
            <w:tcBorders>
              <w:top w:val="nil"/>
              <w:left w:val="nil"/>
              <w:bottom w:val="single" w:sz="4" w:space="0" w:color="auto"/>
              <w:right w:val="single" w:sz="4" w:space="0" w:color="auto"/>
            </w:tcBorders>
            <w:shd w:val="clear" w:color="auto" w:fill="auto"/>
            <w:noWrap/>
            <w:vAlign w:val="bottom"/>
            <w:hideMark/>
          </w:tcPr>
          <w:p w14:paraId="6A87A5D6"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70F1F801"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313654.55</w:t>
            </w:r>
          </w:p>
        </w:tc>
      </w:tr>
      <w:tr w:rsidR="0018000A" w:rsidRPr="0018000A" w14:paraId="03BE66DF"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86B22D8"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2</w:t>
            </w:r>
          </w:p>
        </w:tc>
        <w:tc>
          <w:tcPr>
            <w:tcW w:w="1300" w:type="dxa"/>
            <w:tcBorders>
              <w:top w:val="nil"/>
              <w:left w:val="nil"/>
              <w:bottom w:val="single" w:sz="4" w:space="0" w:color="auto"/>
              <w:right w:val="single" w:sz="4" w:space="0" w:color="auto"/>
            </w:tcBorders>
            <w:shd w:val="clear" w:color="auto" w:fill="auto"/>
            <w:noWrap/>
            <w:vAlign w:val="bottom"/>
            <w:hideMark/>
          </w:tcPr>
          <w:p w14:paraId="01249CBA"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0.8264</w:t>
            </w:r>
          </w:p>
        </w:tc>
        <w:tc>
          <w:tcPr>
            <w:tcW w:w="1300" w:type="dxa"/>
            <w:tcBorders>
              <w:top w:val="nil"/>
              <w:left w:val="nil"/>
              <w:bottom w:val="single" w:sz="4" w:space="0" w:color="auto"/>
              <w:right w:val="single" w:sz="4" w:space="0" w:color="auto"/>
            </w:tcBorders>
            <w:shd w:val="clear" w:color="auto" w:fill="auto"/>
            <w:noWrap/>
            <w:vAlign w:val="bottom"/>
            <w:hideMark/>
          </w:tcPr>
          <w:p w14:paraId="749D4064"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4FBC3EB4" w14:textId="782B7008"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285140.5</w:t>
            </w:r>
            <w:r w:rsidR="008C200D">
              <w:rPr>
                <w:rFonts w:ascii="Calibri" w:eastAsia="Times New Roman" w:hAnsi="Calibri"/>
                <w:color w:val="000000"/>
              </w:rPr>
              <w:t>0</w:t>
            </w:r>
          </w:p>
        </w:tc>
      </w:tr>
      <w:tr w:rsidR="0018000A" w:rsidRPr="0018000A" w14:paraId="37EF3557"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A7D2692"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14:paraId="6E3D734C"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0.7513</w:t>
            </w:r>
          </w:p>
        </w:tc>
        <w:tc>
          <w:tcPr>
            <w:tcW w:w="1300" w:type="dxa"/>
            <w:tcBorders>
              <w:top w:val="nil"/>
              <w:left w:val="nil"/>
              <w:bottom w:val="single" w:sz="4" w:space="0" w:color="auto"/>
              <w:right w:val="single" w:sz="4" w:space="0" w:color="auto"/>
            </w:tcBorders>
            <w:shd w:val="clear" w:color="auto" w:fill="auto"/>
            <w:noWrap/>
            <w:vAlign w:val="bottom"/>
            <w:hideMark/>
          </w:tcPr>
          <w:p w14:paraId="467D16A8"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47DB022C"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259218.63</w:t>
            </w:r>
          </w:p>
        </w:tc>
      </w:tr>
      <w:tr w:rsidR="0018000A" w:rsidRPr="0018000A" w14:paraId="111BAC9E"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EDE1EE6"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14:paraId="5A5444A8"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0.683</w:t>
            </w:r>
          </w:p>
        </w:tc>
        <w:tc>
          <w:tcPr>
            <w:tcW w:w="1300" w:type="dxa"/>
            <w:tcBorders>
              <w:top w:val="nil"/>
              <w:left w:val="nil"/>
              <w:bottom w:val="single" w:sz="4" w:space="0" w:color="auto"/>
              <w:right w:val="single" w:sz="4" w:space="0" w:color="auto"/>
            </w:tcBorders>
            <w:shd w:val="clear" w:color="auto" w:fill="auto"/>
            <w:noWrap/>
            <w:vAlign w:val="bottom"/>
            <w:hideMark/>
          </w:tcPr>
          <w:p w14:paraId="6DDAB878"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7AE3D2D2" w14:textId="3575E6EE"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235653.3</w:t>
            </w:r>
            <w:r w:rsidR="008C200D">
              <w:rPr>
                <w:rFonts w:ascii="Calibri" w:eastAsia="Times New Roman" w:hAnsi="Calibri"/>
                <w:color w:val="000000"/>
              </w:rPr>
              <w:t>0</w:t>
            </w:r>
          </w:p>
        </w:tc>
      </w:tr>
      <w:tr w:rsidR="0018000A" w:rsidRPr="0018000A" w14:paraId="1510E620"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DB9D348"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5</w:t>
            </w:r>
          </w:p>
        </w:tc>
        <w:tc>
          <w:tcPr>
            <w:tcW w:w="1300" w:type="dxa"/>
            <w:tcBorders>
              <w:top w:val="nil"/>
              <w:left w:val="nil"/>
              <w:bottom w:val="single" w:sz="4" w:space="0" w:color="auto"/>
              <w:right w:val="single" w:sz="4" w:space="0" w:color="auto"/>
            </w:tcBorders>
            <w:shd w:val="clear" w:color="auto" w:fill="auto"/>
            <w:noWrap/>
            <w:vAlign w:val="bottom"/>
            <w:hideMark/>
          </w:tcPr>
          <w:p w14:paraId="0CEB5F9B"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0.6209</w:t>
            </w:r>
          </w:p>
        </w:tc>
        <w:tc>
          <w:tcPr>
            <w:tcW w:w="1300" w:type="dxa"/>
            <w:tcBorders>
              <w:top w:val="nil"/>
              <w:left w:val="nil"/>
              <w:bottom w:val="single" w:sz="4" w:space="0" w:color="auto"/>
              <w:right w:val="single" w:sz="4" w:space="0" w:color="auto"/>
            </w:tcBorders>
            <w:shd w:val="clear" w:color="auto" w:fill="auto"/>
            <w:noWrap/>
            <w:vAlign w:val="bottom"/>
            <w:hideMark/>
          </w:tcPr>
          <w:p w14:paraId="3CBF66E5"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15DB31C4"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214230.27</w:t>
            </w:r>
          </w:p>
        </w:tc>
      </w:tr>
      <w:tr w:rsidR="0018000A" w:rsidRPr="0018000A" w14:paraId="4ADD4B0B"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4591CC3"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6</w:t>
            </w:r>
          </w:p>
        </w:tc>
        <w:tc>
          <w:tcPr>
            <w:tcW w:w="1300" w:type="dxa"/>
            <w:tcBorders>
              <w:top w:val="nil"/>
              <w:left w:val="nil"/>
              <w:bottom w:val="single" w:sz="4" w:space="0" w:color="auto"/>
              <w:right w:val="single" w:sz="4" w:space="0" w:color="auto"/>
            </w:tcBorders>
            <w:shd w:val="clear" w:color="auto" w:fill="auto"/>
            <w:noWrap/>
            <w:vAlign w:val="bottom"/>
            <w:hideMark/>
          </w:tcPr>
          <w:p w14:paraId="29B13517"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0.5645</w:t>
            </w:r>
          </w:p>
        </w:tc>
        <w:tc>
          <w:tcPr>
            <w:tcW w:w="1300" w:type="dxa"/>
            <w:tcBorders>
              <w:top w:val="nil"/>
              <w:left w:val="nil"/>
              <w:bottom w:val="single" w:sz="4" w:space="0" w:color="auto"/>
              <w:right w:val="single" w:sz="4" w:space="0" w:color="auto"/>
            </w:tcBorders>
            <w:shd w:val="clear" w:color="auto" w:fill="auto"/>
            <w:noWrap/>
            <w:vAlign w:val="bottom"/>
            <w:hideMark/>
          </w:tcPr>
          <w:p w14:paraId="0E4E7B71"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73E2477C" w14:textId="0729146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194754.8</w:t>
            </w:r>
            <w:r w:rsidR="008C200D">
              <w:rPr>
                <w:rFonts w:ascii="Calibri" w:eastAsia="Times New Roman" w:hAnsi="Calibri"/>
                <w:color w:val="000000"/>
              </w:rPr>
              <w:t>0</w:t>
            </w:r>
          </w:p>
        </w:tc>
      </w:tr>
      <w:tr w:rsidR="0018000A" w:rsidRPr="0018000A" w14:paraId="617119BB"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694CD86"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7</w:t>
            </w:r>
          </w:p>
        </w:tc>
        <w:tc>
          <w:tcPr>
            <w:tcW w:w="1300" w:type="dxa"/>
            <w:tcBorders>
              <w:top w:val="nil"/>
              <w:left w:val="nil"/>
              <w:bottom w:val="single" w:sz="4" w:space="0" w:color="auto"/>
              <w:right w:val="single" w:sz="4" w:space="0" w:color="auto"/>
            </w:tcBorders>
            <w:shd w:val="clear" w:color="auto" w:fill="auto"/>
            <w:noWrap/>
            <w:vAlign w:val="bottom"/>
            <w:hideMark/>
          </w:tcPr>
          <w:p w14:paraId="359D5011"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0.5132</w:t>
            </w:r>
          </w:p>
        </w:tc>
        <w:tc>
          <w:tcPr>
            <w:tcW w:w="1300" w:type="dxa"/>
            <w:tcBorders>
              <w:top w:val="nil"/>
              <w:left w:val="nil"/>
              <w:bottom w:val="single" w:sz="4" w:space="0" w:color="auto"/>
              <w:right w:val="single" w:sz="4" w:space="0" w:color="auto"/>
            </w:tcBorders>
            <w:shd w:val="clear" w:color="auto" w:fill="auto"/>
            <w:noWrap/>
            <w:vAlign w:val="bottom"/>
            <w:hideMark/>
          </w:tcPr>
          <w:p w14:paraId="6F157377"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24FB8D86"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177049.81</w:t>
            </w:r>
          </w:p>
        </w:tc>
      </w:tr>
      <w:tr w:rsidR="0018000A" w:rsidRPr="0018000A" w14:paraId="44092059"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AF502C9"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8</w:t>
            </w:r>
          </w:p>
        </w:tc>
        <w:tc>
          <w:tcPr>
            <w:tcW w:w="1300" w:type="dxa"/>
            <w:tcBorders>
              <w:top w:val="nil"/>
              <w:left w:val="nil"/>
              <w:bottom w:val="single" w:sz="4" w:space="0" w:color="auto"/>
              <w:right w:val="single" w:sz="4" w:space="0" w:color="auto"/>
            </w:tcBorders>
            <w:shd w:val="clear" w:color="auto" w:fill="auto"/>
            <w:noWrap/>
            <w:vAlign w:val="bottom"/>
            <w:hideMark/>
          </w:tcPr>
          <w:p w14:paraId="3478A96B"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0.4665</w:t>
            </w:r>
          </w:p>
        </w:tc>
        <w:tc>
          <w:tcPr>
            <w:tcW w:w="1300" w:type="dxa"/>
            <w:tcBorders>
              <w:top w:val="nil"/>
              <w:left w:val="nil"/>
              <w:bottom w:val="single" w:sz="4" w:space="0" w:color="auto"/>
              <w:right w:val="single" w:sz="4" w:space="0" w:color="auto"/>
            </w:tcBorders>
            <w:shd w:val="clear" w:color="auto" w:fill="auto"/>
            <w:noWrap/>
            <w:vAlign w:val="bottom"/>
            <w:hideMark/>
          </w:tcPr>
          <w:p w14:paraId="140843E4"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1C214963"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160954.38</w:t>
            </w:r>
          </w:p>
        </w:tc>
      </w:tr>
      <w:tr w:rsidR="0018000A" w:rsidRPr="0018000A" w14:paraId="199FC643"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D2AD7D1"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9</w:t>
            </w:r>
          </w:p>
        </w:tc>
        <w:tc>
          <w:tcPr>
            <w:tcW w:w="1300" w:type="dxa"/>
            <w:tcBorders>
              <w:top w:val="nil"/>
              <w:left w:val="nil"/>
              <w:bottom w:val="single" w:sz="4" w:space="0" w:color="auto"/>
              <w:right w:val="single" w:sz="4" w:space="0" w:color="auto"/>
            </w:tcBorders>
            <w:shd w:val="clear" w:color="auto" w:fill="auto"/>
            <w:noWrap/>
            <w:vAlign w:val="bottom"/>
            <w:hideMark/>
          </w:tcPr>
          <w:p w14:paraId="5FA62C77"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0.4241</w:t>
            </w:r>
          </w:p>
        </w:tc>
        <w:tc>
          <w:tcPr>
            <w:tcW w:w="1300" w:type="dxa"/>
            <w:tcBorders>
              <w:top w:val="nil"/>
              <w:left w:val="nil"/>
              <w:bottom w:val="single" w:sz="4" w:space="0" w:color="auto"/>
              <w:right w:val="single" w:sz="4" w:space="0" w:color="auto"/>
            </w:tcBorders>
            <w:shd w:val="clear" w:color="auto" w:fill="auto"/>
            <w:noWrap/>
            <w:vAlign w:val="bottom"/>
            <w:hideMark/>
          </w:tcPr>
          <w:p w14:paraId="0504AC46"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1F51A125"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146322.16</w:t>
            </w:r>
          </w:p>
        </w:tc>
      </w:tr>
      <w:tr w:rsidR="0018000A" w:rsidRPr="0018000A" w14:paraId="501792A7"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185A633"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10</w:t>
            </w:r>
          </w:p>
        </w:tc>
        <w:tc>
          <w:tcPr>
            <w:tcW w:w="1300" w:type="dxa"/>
            <w:tcBorders>
              <w:top w:val="nil"/>
              <w:left w:val="nil"/>
              <w:bottom w:val="single" w:sz="4" w:space="0" w:color="auto"/>
              <w:right w:val="single" w:sz="4" w:space="0" w:color="auto"/>
            </w:tcBorders>
            <w:shd w:val="clear" w:color="auto" w:fill="auto"/>
            <w:noWrap/>
            <w:vAlign w:val="bottom"/>
            <w:hideMark/>
          </w:tcPr>
          <w:p w14:paraId="1F45AC4D"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0.3855</w:t>
            </w:r>
          </w:p>
        </w:tc>
        <w:tc>
          <w:tcPr>
            <w:tcW w:w="1300" w:type="dxa"/>
            <w:tcBorders>
              <w:top w:val="nil"/>
              <w:left w:val="nil"/>
              <w:bottom w:val="single" w:sz="4" w:space="0" w:color="auto"/>
              <w:right w:val="single" w:sz="4" w:space="0" w:color="auto"/>
            </w:tcBorders>
            <w:shd w:val="clear" w:color="auto" w:fill="auto"/>
            <w:noWrap/>
            <w:vAlign w:val="bottom"/>
            <w:hideMark/>
          </w:tcPr>
          <w:p w14:paraId="4EEFBB2C"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345,020</w:t>
            </w:r>
          </w:p>
        </w:tc>
        <w:tc>
          <w:tcPr>
            <w:tcW w:w="1300" w:type="dxa"/>
            <w:tcBorders>
              <w:top w:val="nil"/>
              <w:left w:val="nil"/>
              <w:bottom w:val="single" w:sz="4" w:space="0" w:color="auto"/>
              <w:right w:val="single" w:sz="4" w:space="0" w:color="auto"/>
            </w:tcBorders>
            <w:shd w:val="clear" w:color="auto" w:fill="auto"/>
            <w:noWrap/>
            <w:vAlign w:val="bottom"/>
            <w:hideMark/>
          </w:tcPr>
          <w:p w14:paraId="5DEC5F79"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133020.15</w:t>
            </w:r>
          </w:p>
        </w:tc>
      </w:tr>
      <w:tr w:rsidR="0018000A" w:rsidRPr="0018000A" w14:paraId="30BD6A12"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361E783"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FB5412"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D51B51"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385D808"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w:t>
            </w:r>
          </w:p>
        </w:tc>
      </w:tr>
      <w:tr w:rsidR="0018000A" w:rsidRPr="0018000A" w14:paraId="532DE837" w14:textId="77777777" w:rsidTr="0018000A">
        <w:trPr>
          <w:trHeight w:val="300"/>
        </w:trPr>
        <w:tc>
          <w:tcPr>
            <w:tcW w:w="2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B1319" w14:textId="77777777" w:rsidR="0018000A" w:rsidRPr="0018000A" w:rsidRDefault="0018000A" w:rsidP="0018000A">
            <w:pPr>
              <w:jc w:val="center"/>
              <w:rPr>
                <w:rFonts w:ascii="Calibri" w:eastAsia="Times New Roman" w:hAnsi="Calibri"/>
                <w:color w:val="000000"/>
              </w:rPr>
            </w:pPr>
            <w:r w:rsidRPr="0018000A">
              <w:rPr>
                <w:rFonts w:ascii="Calibri" w:eastAsia="Times New Roman"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13888C3"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E38339"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w:t>
            </w:r>
          </w:p>
        </w:tc>
      </w:tr>
      <w:tr w:rsidR="0018000A" w:rsidRPr="0018000A" w14:paraId="31C137D4" w14:textId="77777777" w:rsidTr="0018000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3325CE6"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5E22B201"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6.1446</w:t>
            </w:r>
          </w:p>
        </w:tc>
        <w:tc>
          <w:tcPr>
            <w:tcW w:w="1300" w:type="dxa"/>
            <w:tcBorders>
              <w:top w:val="nil"/>
              <w:left w:val="nil"/>
              <w:bottom w:val="single" w:sz="4" w:space="0" w:color="auto"/>
              <w:right w:val="single" w:sz="4" w:space="0" w:color="auto"/>
            </w:tcBorders>
            <w:shd w:val="clear" w:color="auto" w:fill="auto"/>
            <w:noWrap/>
            <w:vAlign w:val="bottom"/>
            <w:hideMark/>
          </w:tcPr>
          <w:p w14:paraId="7413B105" w14:textId="77777777" w:rsidR="0018000A" w:rsidRPr="0018000A" w:rsidRDefault="0018000A" w:rsidP="0018000A">
            <w:pPr>
              <w:rPr>
                <w:rFonts w:ascii="Calibri" w:eastAsia="Times New Roman" w:hAnsi="Calibri"/>
                <w:color w:val="000000"/>
              </w:rPr>
            </w:pPr>
            <w:r w:rsidRPr="0018000A">
              <w:rPr>
                <w:rFonts w:ascii="Calibri" w:eastAsia="Times New Roman"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7AF2CC" w14:textId="77777777" w:rsidR="0018000A" w:rsidRPr="0018000A" w:rsidRDefault="0018000A" w:rsidP="0018000A">
            <w:pPr>
              <w:jc w:val="right"/>
              <w:rPr>
                <w:rFonts w:ascii="Calibri" w:eastAsia="Times New Roman" w:hAnsi="Calibri"/>
                <w:color w:val="000000"/>
              </w:rPr>
            </w:pPr>
            <w:r w:rsidRPr="0018000A">
              <w:rPr>
                <w:rFonts w:ascii="Calibri" w:eastAsia="Times New Roman" w:hAnsi="Calibri"/>
                <w:color w:val="000000"/>
              </w:rPr>
              <w:t>2119999</w:t>
            </w:r>
          </w:p>
        </w:tc>
      </w:tr>
    </w:tbl>
    <w:p w14:paraId="026EAFB2" w14:textId="77777777" w:rsidR="0018000A" w:rsidRDefault="0018000A" w:rsidP="00C55E8E">
      <w:pPr>
        <w:rPr>
          <w:b/>
        </w:rPr>
      </w:pPr>
    </w:p>
    <w:p w14:paraId="560BEA94" w14:textId="77777777" w:rsidR="008C200D" w:rsidRDefault="008C200D" w:rsidP="00C55E8E">
      <w:pPr>
        <w:rPr>
          <w:b/>
        </w:rPr>
      </w:pPr>
    </w:p>
    <w:p w14:paraId="22331EE3" w14:textId="67C89537" w:rsidR="008C200D" w:rsidRDefault="001660F0" w:rsidP="00C55E8E">
      <w:pPr>
        <w:rPr>
          <w:b/>
        </w:rPr>
      </w:pPr>
      <w:r>
        <w:rPr>
          <w:b/>
        </w:rPr>
        <w:t xml:space="preserve">2. </w:t>
      </w:r>
      <w:r w:rsidRPr="001660F0">
        <w:rPr>
          <w:b/>
        </w:rPr>
        <w:t>Assess Polaris’s most recent annual financial statements,</w:t>
      </w:r>
      <w:r>
        <w:rPr>
          <w:b/>
        </w:rPr>
        <w:t xml:space="preserve"> </w:t>
      </w:r>
      <w:r w:rsidRPr="001660F0">
        <w:rPr>
          <w:b/>
        </w:rPr>
        <w:t>from its website (</w:t>
      </w:r>
      <w:hyperlink r:id="rId6" w:history="1">
        <w:r w:rsidRPr="001660F0">
          <w:rPr>
            <w:rStyle w:val="Hyperlink"/>
            <w:b/>
          </w:rPr>
          <w:t>polaris.com</w:t>
        </w:r>
      </w:hyperlink>
      <w:r w:rsidRPr="001660F0">
        <w:rPr>
          <w:b/>
        </w:rPr>
        <w:t>) or the SEC’s website (</w:t>
      </w:r>
      <w:hyperlink r:id="rId7" w:history="1">
        <w:r w:rsidRPr="001660F0">
          <w:rPr>
            <w:rStyle w:val="Hyperlink"/>
            <w:b/>
          </w:rPr>
          <w:t>sec.gov</w:t>
        </w:r>
      </w:hyperlink>
      <w:r w:rsidRPr="001660F0">
        <w:rPr>
          <w:b/>
        </w:rPr>
        <w:t>).</w:t>
      </w:r>
    </w:p>
    <w:p w14:paraId="151157EB" w14:textId="77777777" w:rsidR="001660F0" w:rsidRDefault="001660F0" w:rsidP="00C55E8E">
      <w:pPr>
        <w:rPr>
          <w:b/>
        </w:rPr>
      </w:pPr>
    </w:p>
    <w:p w14:paraId="55668C4A" w14:textId="77D5125E" w:rsidR="001660F0" w:rsidRDefault="001660F0" w:rsidP="00C55E8E">
      <w:pPr>
        <w:rPr>
          <w:b/>
        </w:rPr>
      </w:pPr>
      <w:r>
        <w:rPr>
          <w:b/>
        </w:rPr>
        <w:tab/>
      </w:r>
      <w:r w:rsidRPr="002A1133">
        <w:rPr>
          <w:b/>
          <w:highlight w:val="yellow"/>
        </w:rPr>
        <w:t>a. Determine the amount that Polaris invested in capital assets for that year. (Hint: Refer to the statement of cash flows).</w:t>
      </w:r>
    </w:p>
    <w:p w14:paraId="2DBDDE81" w14:textId="77777777" w:rsidR="002B0BD5" w:rsidRDefault="002B0BD5" w:rsidP="00C55E8E">
      <w:pPr>
        <w:rPr>
          <w:b/>
        </w:rPr>
      </w:pPr>
    </w:p>
    <w:p w14:paraId="7C2876B9" w14:textId="375F8B0C" w:rsidR="002A1133" w:rsidRDefault="002A1133" w:rsidP="00C55E8E">
      <w:pPr>
        <w:rPr>
          <w:b/>
        </w:rPr>
      </w:pPr>
      <w:r>
        <w:rPr>
          <w:b/>
        </w:rPr>
        <w:t>Not sure if this is accurate!</w:t>
      </w:r>
    </w:p>
    <w:p w14:paraId="680DB5D4" w14:textId="019A3A70" w:rsidR="002B0BD5" w:rsidRDefault="002B0BD5" w:rsidP="00C55E8E">
      <w:r>
        <w:t xml:space="preserve">The </w:t>
      </w:r>
      <w:r w:rsidR="00B21E29">
        <w:t xml:space="preserve">amount that Polaris invested in capital assets for the year was, </w:t>
      </w:r>
      <w:r w:rsidR="006B5FAF">
        <w:t>389,447 which is the capital spending for Polaris and reflects the amount that Polaris invested in fixed assets from the beginning of 2014 to the year end or December 31, 2014</w:t>
      </w:r>
    </w:p>
    <w:p w14:paraId="2C7A5F44" w14:textId="77777777" w:rsidR="002671D1" w:rsidRDefault="002671D1" w:rsidP="00C55E8E"/>
    <w:p w14:paraId="6DA58DB1" w14:textId="4E91CEC7" w:rsidR="002671D1" w:rsidRDefault="002671D1" w:rsidP="002671D1">
      <w:pPr>
        <w:ind w:firstLine="720"/>
        <w:rPr>
          <w:b/>
        </w:rPr>
      </w:pPr>
      <w:r w:rsidRPr="002A1133">
        <w:rPr>
          <w:b/>
          <w:highlight w:val="yellow"/>
        </w:rPr>
        <w:t>b. Assume a ten-year life and a 10% internal rate of return. What is the amount of cash flows that Polaris must earn on these new projects?</w:t>
      </w:r>
    </w:p>
    <w:p w14:paraId="2031E932" w14:textId="77777777" w:rsidR="002671D1" w:rsidRDefault="002671D1" w:rsidP="002671D1">
      <w:pPr>
        <w:rPr>
          <w:b/>
        </w:rPr>
      </w:pPr>
    </w:p>
    <w:p w14:paraId="35CBEC4C" w14:textId="77777777" w:rsidR="002671D1" w:rsidRPr="002671D1" w:rsidRDefault="002671D1" w:rsidP="002671D1">
      <w:pPr>
        <w:rPr>
          <w:b/>
        </w:rPr>
      </w:pPr>
    </w:p>
    <w:p w14:paraId="4824388C" w14:textId="77777777" w:rsidR="001660F0" w:rsidRDefault="001660F0" w:rsidP="00C55E8E">
      <w:pPr>
        <w:rPr>
          <w:b/>
        </w:rPr>
      </w:pPr>
    </w:p>
    <w:p w14:paraId="309A36D1" w14:textId="77777777" w:rsidR="001660F0" w:rsidRPr="00025C76" w:rsidRDefault="001660F0" w:rsidP="00C55E8E">
      <w:pPr>
        <w:rPr>
          <w:b/>
        </w:rPr>
      </w:pPr>
    </w:p>
    <w:sectPr w:rsidR="001660F0" w:rsidRPr="00025C76" w:rsidSect="00C55E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49"/>
    <w:rsid w:val="00025C76"/>
    <w:rsid w:val="00093F5B"/>
    <w:rsid w:val="000B2A90"/>
    <w:rsid w:val="001007DF"/>
    <w:rsid w:val="00136B6D"/>
    <w:rsid w:val="001660F0"/>
    <w:rsid w:val="0018000A"/>
    <w:rsid w:val="00183949"/>
    <w:rsid w:val="001C4562"/>
    <w:rsid w:val="002671D1"/>
    <w:rsid w:val="002A1133"/>
    <w:rsid w:val="002B0BD5"/>
    <w:rsid w:val="003D05D7"/>
    <w:rsid w:val="0062703E"/>
    <w:rsid w:val="006B5FAF"/>
    <w:rsid w:val="00872FAB"/>
    <w:rsid w:val="008C200D"/>
    <w:rsid w:val="00B21E29"/>
    <w:rsid w:val="00C5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3E36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0F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29233">
      <w:bodyDiv w:val="1"/>
      <w:marLeft w:val="0"/>
      <w:marRight w:val="0"/>
      <w:marTop w:val="0"/>
      <w:marBottom w:val="0"/>
      <w:divBdr>
        <w:top w:val="none" w:sz="0" w:space="0" w:color="auto"/>
        <w:left w:val="none" w:sz="0" w:space="0" w:color="auto"/>
        <w:bottom w:val="none" w:sz="0" w:space="0" w:color="auto"/>
        <w:right w:val="none" w:sz="0" w:space="0" w:color="auto"/>
      </w:divBdr>
    </w:div>
    <w:div w:id="870921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r.polaris.com/files/doc_financials/annual_reports/Polaris-2014-Annual-Report-Final2.pdf" TargetMode="External"/><Relationship Id="rId6" Type="http://schemas.openxmlformats.org/officeDocument/2006/relationships/hyperlink" Target="http://www.polaris.com/" TargetMode="External"/><Relationship Id="rId7" Type="http://schemas.openxmlformats.org/officeDocument/2006/relationships/hyperlink" Target="http://www.sec.gov/"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1947</Characters>
  <Application>Microsoft Macintosh Word</Application>
  <DocSecurity>0</DocSecurity>
  <Lines>16</Lines>
  <Paragraphs>4</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3</cp:revision>
  <dcterms:created xsi:type="dcterms:W3CDTF">2015-05-24T04:53:00Z</dcterms:created>
  <dcterms:modified xsi:type="dcterms:W3CDTF">2015-05-24T04:55:00Z</dcterms:modified>
</cp:coreProperties>
</file>